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D11A" w14:textId="5F17B338" w:rsidR="000D6ECB" w:rsidRPr="00812417" w:rsidRDefault="00812417" w:rsidP="000D6E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Лекция 13.</w:t>
      </w:r>
      <w:r w:rsidR="000D6ECB" w:rsidRPr="00812417">
        <w:rPr>
          <w:rFonts w:ascii="Times New Roman" w:hAnsi="Times New Roman" w:cs="Times New Roman"/>
          <w:b/>
          <w:sz w:val="28"/>
          <w:szCs w:val="28"/>
        </w:rPr>
        <w:t xml:space="preserve"> Трансферное обучение: адаптация предметной области</w:t>
      </w:r>
    </w:p>
    <w:p w14:paraId="3DD3B55A" w14:textId="77777777" w:rsidR="000D6ECB" w:rsidRPr="00812417" w:rsidRDefault="000D6ECB" w:rsidP="00812417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7DE10E8A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Адаптация предметной области - это форма трансферного обучения, при которой задача остается той же, но существует сдвиг предметной области или изменение распределения между источником и целью. В качестве примера рассмотрим модель, которая научилась классифицировать отзывы об электронных продуктах по положительным и отрицательным настроениям и используется для классификации отзывов о гостиничных номерах или фильмах. Задачей анализа настроений остается то же самое, но изменился домен (электроника и гостиничные номера). Применение модели к отдельному домену создает множество проблем из-за различий между обучающими данными и невидимыми данными тестирования, обычно известного как сдвиг домена. Например, предложения, содержащие такие фразы, как «громко и четко», будут в основном считаться положительными в отношении электроники, тогда как в отзывах о гостиничных номерах - отрицательным.</w:t>
      </w:r>
    </w:p>
    <w:p w14:paraId="3DF7C3F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Точно так же использование таких ключевых слов, как «длинный» или «скучный», которые могут преобладать в таких областях, как обзоры книг, может полностью отсутствовать в таких областях, как обзоры кухонного оборудования.</w:t>
      </w:r>
    </w:p>
    <w:p w14:paraId="652589B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Как обсуждалось в предыдущей главе, центральная идея адаптации предметной области состоит в том, чтобы учиться на исходном наборе данных (помеченном и немаркированном), чтобы обучение можно было использовать в целевом наборе данных с другим отображением предметной области. Чтобы изучить сдвиг предметной области между источником и целью, используются традиционные методы, которые делятся на две широкие категории: основанные на экземплярах и основанные на функциях. При использовании экземпляров несоответствие между исходным и целевым доменами сокращается за счет повторного взвешивания исходных выборок и изучения моделей из повторно взвешенных [BM10]. В функционально-ориентированной системе изучается общее разделяемое пространство или совместное представление между источником и целевым объектом, где распределения совпадают [GGS13]. В последнее время архитектуры глубокого обучения были успешно реализованы для адаптации предметной области в различных приложениях, особенно в области компьютерного зрения [Csu17]. В этой главе мы подробно обсуждаем некоторые методы, использующие глубокое обучение для адаптации предметной области, и их применение в тексте и речи. Затем мы обсудим методы обучения с нулевым, однократным и малым выстрелом, которые приобрели популярность в области адаптации. Мы проводим подробное тематическое исследование, используя множество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>техник, обсуждаемых в главе, чтобы в конце познакомить читателей с практическими аспектами адаптации предметной области.</w:t>
      </w:r>
    </w:p>
    <w:p w14:paraId="6C20E0A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В этой главе мы будем использовать обозначения, аналогичные обозначениям исследовательских работ, которые они цитируют, для упрощения сопоставления со ссылками.</w:t>
      </w:r>
    </w:p>
    <w:p w14:paraId="4458840C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Методы</w:t>
      </w:r>
    </w:p>
    <w:p w14:paraId="12CE9E8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В этом разделе мы выделим некоторые из хорошо известных методов, которые могут быть очень эффективными и достаточно универсальными для решения проблемы адаптации предметной области в тексте и речи.</w:t>
      </w:r>
    </w:p>
    <w:p w14:paraId="1BA520B3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 xml:space="preserve">Составные </w:t>
      </w:r>
      <w:proofErr w:type="spellStart"/>
      <w:r w:rsidRPr="00812417">
        <w:rPr>
          <w:rFonts w:ascii="Times New Roman" w:hAnsi="Times New Roman" w:cs="Times New Roman"/>
          <w:b/>
          <w:sz w:val="28"/>
          <w:szCs w:val="28"/>
        </w:rPr>
        <w:t>автоэнкодеры</w:t>
      </w:r>
      <w:proofErr w:type="spellEnd"/>
    </w:p>
    <w:p w14:paraId="28E4439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Одна из самых ранних работ по адаптации домена принадлежит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Glorot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в области классификации настроений [GBB11b]. Исходный домен содержит большое количество отзывов об Amazon, в то время как целевой - это совершенно другие продукты с небольшими помеченными данными. В этой работе исследователи используют составные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шумоподавляющие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автокодеры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(SDA) для исходных и целевых данных, объединенных для изучения функций, как показано на рис. 11.1, в качестве первого шага. Затем линейная SVM обучается функциям, извлеченным кодирующей частью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автокодера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и используется для прогнозирования невидимых целевых данных в различных доменах. Исследователи сообщают о новейших результатах классификации настроений в разных областях.</w:t>
      </w:r>
    </w:p>
    <w:p w14:paraId="5801425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Варианты, такие как составные маргинальные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автоэнкодеры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 шумоподавлением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mSDA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), которые имеют лучшие оптимальные решения и более быстрое время обучения, также очень успешно используются в задачах классификации, таких как классификация настроений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+ 12]. Чтобы объяснить метод, предположим, что для источника S и цели T у нас есть выборка исходных данных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{x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, ···,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}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метки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{y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, ···,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} и цель данные выборки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{x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ns+1</w:t>
      </w:r>
      <w:r w:rsidRPr="00812417">
        <w:rPr>
          <w:rFonts w:ascii="Times New Roman" w:hAnsi="Times New Roman" w:cs="Times New Roman"/>
          <w:sz w:val="28"/>
          <w:szCs w:val="28"/>
        </w:rPr>
        <w:t xml:space="preserve">, ...,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}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без меток. Цель состоит в том, чтобы изучить классификатор h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H с помеченными исходными обучающими данными DS для прогнозирования немаркированных целевых данных DT.</w:t>
      </w:r>
    </w:p>
    <w:p w14:paraId="435B82B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Основным строительным блоком в этой работе является однослойный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автоэнкодер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 шумоподавлением.</w:t>
      </w:r>
    </w:p>
    <w:p w14:paraId="28B352C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Входом для этого является весь набор исходных и целевых данных, т. е. D =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Cambria Math" w:hAnsi="Cambria Math" w:cs="Cambria Math"/>
          <w:sz w:val="28"/>
          <w:szCs w:val="28"/>
        </w:rPr>
        <w:t>∪</w:t>
      </w:r>
      <w:r w:rsidRPr="00812417">
        <w:rPr>
          <w:rFonts w:ascii="Times New Roman" w:hAnsi="Times New Roman" w:cs="Times New Roman"/>
          <w:sz w:val="28"/>
          <w:szCs w:val="28"/>
        </w:rPr>
        <w:t xml:space="preserve">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{x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, ···,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}, и он искажается удалением признака с вероятностью p ≥ 0. Например, если представление вектора представляет собой вектор мешка слов, некоторые значения могут быть перевернуты с 1 на 0. Рассмотрим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x˜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как искаженную версию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</w:t>
      </w:r>
    </w:p>
    <w:p w14:paraId="027C103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 xml:space="preserve">Вместо использования двухуровневого кодера-декодера используется одно отображение W: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которое минимизирует возведенные в квадрат потери восстановления, определяемые следующим образом:</w:t>
      </w:r>
    </w:p>
    <w:p w14:paraId="6C85BE21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1/2n∑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i=1</w:t>
      </w:r>
      <w:r w:rsidRPr="00812417">
        <w:rPr>
          <w:rFonts w:ascii="Times New Roman" w:hAnsi="Times New Roman" w:cs="Times New Roman"/>
          <w:sz w:val="28"/>
          <w:szCs w:val="28"/>
        </w:rPr>
        <w:t xml:space="preserve"> ||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Wx˜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||                                                                   (11.1)</w:t>
      </w:r>
    </w:p>
    <w:p w14:paraId="61DBD6C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07DAA1" wp14:editId="175B1FEE">
            <wp:extent cx="6198870" cy="38474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B5228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11.1: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Составные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автокодеры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шумоподавления для обучения функциям и SVM в качестве классификатора</w:t>
      </w:r>
    </w:p>
    <w:p w14:paraId="181B956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Если мы повторим это m раз, дисперсия уменьшится, и решение для W может быть получено из:</w:t>
      </w:r>
    </w:p>
    <w:p w14:paraId="753F9E8E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squared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) = 1 / 2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812417">
        <w:rPr>
          <w:rFonts w:ascii="Times New Roman" w:hAnsi="Times New Roman" w:cs="Times New Roman"/>
          <w:sz w:val="28"/>
          <w:szCs w:val="28"/>
        </w:rPr>
        <w:t>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812417">
        <w:rPr>
          <w:rFonts w:ascii="Times New Roman" w:hAnsi="Times New Roman" w:cs="Times New Roman"/>
          <w:sz w:val="28"/>
          <w:szCs w:val="28"/>
        </w:rPr>
        <w:t xml:space="preserve"> ||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</w:rPr>
        <w:t xml:space="preserve"> −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Wx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˜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812417">
        <w:rPr>
          <w:rFonts w:ascii="Times New Roman" w:hAnsi="Times New Roman" w:cs="Times New Roman"/>
          <w:sz w:val="28"/>
          <w:szCs w:val="28"/>
        </w:rPr>
        <w:t>||                                        (11.2)</w:t>
      </w:r>
    </w:p>
    <w:p w14:paraId="24B29D6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x˜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, j </w:t>
      </w:r>
      <w:r w:rsidRPr="00812417">
        <w:rPr>
          <w:rFonts w:ascii="Times New Roman" w:hAnsi="Times New Roman" w:cs="Times New Roman"/>
          <w:sz w:val="28"/>
          <w:szCs w:val="28"/>
        </w:rPr>
        <w:t xml:space="preserve">представляет собой j-ю испорченную версию исходного входа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</w:t>
      </w:r>
    </w:p>
    <w:p w14:paraId="734C6C6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В матричной записи с входами X = [x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, ···,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]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 xml:space="preserve"> × n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его m-кратным повторением X¯ и искаженным значением X˜. Уравнение потерь можно записать как:</w:t>
      </w:r>
    </w:p>
    <w:p w14:paraId="55E68C6B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squared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(W) = 1 / 2mn tr [(X¯ −WX˜)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(X¯ −WX˜)]                                 (11.3)</w:t>
      </w:r>
    </w:p>
    <w:p w14:paraId="08A5D44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Решение этого в закрытом виде:</w:t>
      </w:r>
    </w:p>
    <w:p w14:paraId="5CCDF88B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W = PQ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−1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 Q = X˜ X˜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P = X¯ X˜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(11.4)</w:t>
      </w:r>
    </w:p>
    <w:p w14:paraId="64C4C848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В предельном случае m - →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inf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W можно выразить через математические ожидания P и Q.</w:t>
      </w:r>
    </w:p>
    <w:p w14:paraId="6C445F8D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>W = E [P] E [Q]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8124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(11,5)</w:t>
      </w:r>
    </w:p>
    <w:p w14:paraId="1612858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Давайте рассмотрим E [Q], который является</w:t>
      </w:r>
    </w:p>
    <w:p w14:paraId="5F9A70A0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E [Q] =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=1</w:t>
      </w:r>
      <w:r w:rsidRPr="00812417">
        <w:rPr>
          <w:rFonts w:ascii="Times New Roman" w:hAnsi="Times New Roman" w:cs="Times New Roman"/>
          <w:sz w:val="28"/>
          <w:szCs w:val="28"/>
        </w:rPr>
        <w:t>E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x˜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12417">
        <w:rPr>
          <w:rFonts w:ascii="Times New Roman" w:hAnsi="Times New Roman" w:cs="Times New Roman"/>
          <w:sz w:val="28"/>
          <w:szCs w:val="28"/>
        </w:rPr>
        <w:t>x˜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]                                                                            (11.6)</w:t>
      </w:r>
    </w:p>
    <w:p w14:paraId="42DF946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Недиагональные элементы в матрице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x˜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12417">
        <w:rPr>
          <w:rFonts w:ascii="Times New Roman" w:hAnsi="Times New Roman" w:cs="Times New Roman"/>
          <w:sz w:val="28"/>
          <w:szCs w:val="28"/>
        </w:rPr>
        <w:t>x˜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] не повреждены, если два признака α и β оба переживают искажение. Они имеет вероятность (1 - p)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. Для диагонали это верно с вероятностью 1− p. Если мы определим вектор q = [1− p, ···, 1− p, 1]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d+1</w:t>
      </w:r>
      <w:r w:rsidRPr="00812417">
        <w:rPr>
          <w:rFonts w:ascii="Times New Roman" w:hAnsi="Times New Roman" w:cs="Times New Roman"/>
          <w:sz w:val="28"/>
          <w:szCs w:val="28"/>
        </w:rPr>
        <w:t>, где q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α</w:t>
      </w:r>
      <w:r w:rsidRPr="00812417">
        <w:rPr>
          <w:rFonts w:ascii="Times New Roman" w:hAnsi="Times New Roman" w:cs="Times New Roman"/>
          <w:sz w:val="28"/>
          <w:szCs w:val="28"/>
        </w:rPr>
        <w:t xml:space="preserve"> представляет вероятность того, что признак α выживет после повреждения, тогда матрица разброса исходного неповрежденного входа можно представить как S = XX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, а математическое ожидание матрицы Q можно записать как:</w:t>
      </w:r>
    </w:p>
    <w:p w14:paraId="164BF015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E [Q] 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α, β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S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α,β</w:t>
      </w:r>
      <w:r w:rsidRPr="00812417">
        <w:rPr>
          <w:rFonts w:ascii="Times New Roman" w:hAnsi="Times New Roman" w:cs="Times New Roman"/>
          <w:sz w:val="28"/>
          <w:szCs w:val="28"/>
        </w:rPr>
        <w:t>q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α</w:t>
      </w:r>
      <w:r w:rsidRPr="00812417">
        <w:rPr>
          <w:rFonts w:ascii="Times New Roman" w:hAnsi="Times New Roman" w:cs="Times New Roman"/>
          <w:sz w:val="28"/>
          <w:szCs w:val="28"/>
        </w:rPr>
        <w:t>q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β</w:t>
      </w:r>
      <w:r w:rsidRPr="00812417">
        <w:rPr>
          <w:rFonts w:ascii="Times New Roman" w:hAnsi="Times New Roman" w:cs="Times New Roman"/>
          <w:sz w:val="28"/>
          <w:szCs w:val="28"/>
        </w:rPr>
        <w:t>, если α =/ β</w:t>
      </w:r>
    </w:p>
    <w:p w14:paraId="7A461ADC" w14:textId="77777777" w:rsidR="000D6ECB" w:rsidRPr="00812417" w:rsidRDefault="000D6ECB" w:rsidP="00812417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        S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α,β</w:t>
      </w:r>
      <w:r w:rsidRPr="00812417">
        <w:rPr>
          <w:rFonts w:ascii="Times New Roman" w:hAnsi="Times New Roman" w:cs="Times New Roman"/>
          <w:sz w:val="28"/>
          <w:szCs w:val="28"/>
        </w:rPr>
        <w:t>q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α</w:t>
      </w:r>
      <w:r w:rsidRPr="00812417">
        <w:rPr>
          <w:rFonts w:ascii="Times New Roman" w:hAnsi="Times New Roman" w:cs="Times New Roman"/>
          <w:sz w:val="28"/>
          <w:szCs w:val="28"/>
        </w:rPr>
        <w:t>, если α = β                                                                    (11.7)</w:t>
      </w:r>
    </w:p>
    <w:p w14:paraId="6E8163D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Аналогичным образом математическое ожидание матрицы P может быть получено как E [P]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α,β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S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α,β</w:t>
      </w:r>
      <w:r w:rsidRPr="00812417">
        <w:rPr>
          <w:rFonts w:ascii="Times New Roman" w:hAnsi="Times New Roman" w:cs="Times New Roman"/>
          <w:sz w:val="28"/>
          <w:szCs w:val="28"/>
        </w:rPr>
        <w:t>q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β</w:t>
      </w:r>
      <w:r w:rsidRPr="00812417">
        <w:rPr>
          <w:rFonts w:ascii="Times New Roman" w:hAnsi="Times New Roman" w:cs="Times New Roman"/>
          <w:sz w:val="28"/>
          <w:szCs w:val="28"/>
        </w:rPr>
        <w:t>.</w:t>
      </w:r>
    </w:p>
    <w:p w14:paraId="74DFAA3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Таким образом, с этими матрицами ожидания реконструктивное отображение W может быть вычислено в замкнутой форме без искажения единственного экземпляра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«маргинализации» шума. Затем, вместо одного слоя, исследование «складывает» слой один за другим, как в составных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автокодировщиках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Выходные данные (t -1) -го слоя подаются в t-й уровень после функции сжатия, такой как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tanh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для придания нелинейности и, таким образом, могут быть выражены как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tanh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(W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t-1</w:t>
      </w:r>
      <w:r w:rsidRPr="00812417">
        <w:rPr>
          <w:rFonts w:ascii="Times New Roman" w:hAnsi="Times New Roman" w:cs="Times New Roman"/>
          <w:sz w:val="28"/>
          <w:szCs w:val="28"/>
        </w:rPr>
        <w:t xml:space="preserve">). Обучение выполняется послойно, т.е. каждый уровень жадно изучает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(в замкнутой форме) и пытается восстановить предыдущий вывод 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t−1</w:t>
      </w:r>
      <w:r w:rsidRPr="00812417">
        <w:rPr>
          <w:rFonts w:ascii="Times New Roman" w:hAnsi="Times New Roman" w:cs="Times New Roman"/>
          <w:sz w:val="28"/>
          <w:szCs w:val="28"/>
        </w:rPr>
        <w:t>. Для адаптации предметной области они используют входные данные и все скрытые слои, объединенные в качестве функций для обучения и прогнозирования классификатора SVM.</w:t>
      </w:r>
    </w:p>
    <w:p w14:paraId="4392A12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Некоторые из преимуществ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mSDA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по сравнению с другими:</w:t>
      </w:r>
    </w:p>
    <w:p w14:paraId="6B3C4707" w14:textId="77777777" w:rsidR="000D6ECB" w:rsidRPr="00812417" w:rsidRDefault="000D6ECB" w:rsidP="0081241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Задача оптимизации является выпуклой и гарантирует оптимальное решение.</w:t>
      </w:r>
    </w:p>
    <w:p w14:paraId="027DC1CC" w14:textId="77777777" w:rsidR="000D6ECB" w:rsidRPr="00812417" w:rsidRDefault="000D6ECB" w:rsidP="0081241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Оптимизация является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неитеративной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закрытой.</w:t>
      </w:r>
    </w:p>
    <w:p w14:paraId="2D80521A" w14:textId="77777777" w:rsidR="000D6ECB" w:rsidRPr="00812417" w:rsidRDefault="000D6ECB" w:rsidP="0081241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Один проход через все данные обучения для вычисления ожиданий E[P] и E[Q] дает огромный прирост скорости обучения.</w:t>
      </w:r>
    </w:p>
    <w:p w14:paraId="2EDA829F" w14:textId="77777777" w:rsidR="000D6ECB" w:rsidRPr="00812417" w:rsidRDefault="000D6ECB" w:rsidP="008124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D1C9B5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Глубокая интерполяция между источником и целью</w:t>
      </w:r>
    </w:p>
    <w:p w14:paraId="7E33E43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Очень похоже на традиционное машинное обучение, исследование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Chopra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использует источник и цель с разными доменами для смешивания в разных пропорциях для изучения промежуточных представлений [CBG13]. Эта работа известна как глубокое обучение для адаптации домена путем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 xml:space="preserve">интерполяции между доменами (DLID). Исследователи используют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сверточные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слои с объединением и прогнозирующим методом разреженной декомпозиции для неконтролируемого изучения нелинейных функций. Метод прогнозирующей разреженной декомпозиции подобен моделям разреженного кодирования, но с быстрой и гладкой аппроксимацией [KRL10]. Помеченные данные передаются через одно и то же преобразование для получения функций, объединения их и использования классификатора, такого как логистическая регрессия, для получения совместной модели. Таким образом, модель бесконтрольно изучает полезные функции как от источника, так и от цели. Эти функции могут использоваться только для переноса домена на целевом объекте. На рис. 11.2a, b схематически показано, как работает этот процесс.</w:t>
      </w:r>
    </w:p>
    <w:p w14:paraId="27C70C6A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4A998" wp14:editId="684AE9EC">
            <wp:extent cx="5403215" cy="629412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629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410D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Рис. 11.2: </w:t>
      </w:r>
      <w:r w:rsidRPr="00812417">
        <w:rPr>
          <w:rFonts w:ascii="Times New Roman" w:hAnsi="Times New Roman" w:cs="Times New Roman"/>
          <w:sz w:val="28"/>
          <w:szCs w:val="28"/>
        </w:rPr>
        <w:t>Метод DLID. (а) Обучение латентному представлению без учителя. Верхние кружки показывают промежуточный путь между источником и целью, где закрашенные кружки - промежуточные представления, а пустые кружки - представления источника / цели. (b) Неконтролируемые функции и метки с классификатором для модели обучения</w:t>
      </w:r>
    </w:p>
    <w:p w14:paraId="5A776CE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Пусть S - исходный домен с выборками данных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T - целевой домен с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в качестве выборок данных, а p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[1,2, ..., P] - индекс по P наборам данных. Смешение между источником и целью выполняется таким образом, что при p = 1,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с этого момента количество исходных выборок уменьшается, а количество целевых увеличивается в той же пропорции. Для каждого набора данных p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[2, ..., P - 1],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количество выборок уменьшается, а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постепенно увеличивается для следующего p. Каждый набор данных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в качестве входных данных для экстрактора нелинейных признаков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Wp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 весами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обученными неконтролируемым образом, генерирует выходные данные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Z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Wp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). После того, как это обучено неконтролируемым образом, любые помеченные обучающие данные проходят через этот путь представления DLID, извлекая функции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Wp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в качестве выходных данных, и объединение всех выходных данных формирует представление для этого входа как:</w:t>
      </w:r>
    </w:p>
    <w:p w14:paraId="329B02B0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 [F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W1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) F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W2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) ···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Wp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)] = [Z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··· Z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]              (11.8)</w:t>
      </w:r>
    </w:p>
    <w:p w14:paraId="7FC2E90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Это представление и метка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Z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передаются классификатору или регрессору для задачи и используют стандартные функции потерь для оптимизации. Невидимые данные проходят тот же путь, и прогнозы классификатора используются для получения класса и вероятности.</w:t>
      </w:r>
    </w:p>
    <w:p w14:paraId="7373DD75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Глубокая путаница в домене</w:t>
      </w:r>
    </w:p>
    <w:p w14:paraId="3F03B8D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Архитектура глубокого смешения доменов (DDC), показанная на рис. 11.3, предложена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Tzeng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и является одной из популярных работ по адаптации домена на основе несоответствий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+ 14]. Исследователи вводят уровень адаптации предметной области и метод потери путаницы, чтобы изучить представление, которое является семантически значимым и обеспечивает основную инвариантность. Предлагается сиамская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сверточная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сетевая архитектура, основной целью которой является изучение представления, которое минимизирует расстояние распределения между исходным и целевым доменами. Представление может использоваться как объекты вместе с набором данных с меткой источника, чтобы минимизировать потерю классификации, и применяется непосредственно к немаркированным целевым данным. В этой работе задача минимизации расстояния распределения решается с использованием максимального среднего несоответствия (MMD), которое вычисляет расстояние в представлении φ (˙) как для источника, так и для цели как:</w:t>
      </w:r>
    </w:p>
    <w:p w14:paraId="0CD68971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>MMD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= ||1/|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|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xs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∈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Xs</w:t>
      </w:r>
      <w:r w:rsidRPr="00812417">
        <w:rPr>
          <w:rFonts w:ascii="Times New Roman" w:hAnsi="Times New Roman" w:cs="Times New Roman"/>
          <w:sz w:val="28"/>
          <w:szCs w:val="28"/>
        </w:rPr>
        <w:t>φ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- 1/|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|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xt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∈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Xt</w:t>
      </w:r>
      <w:r w:rsidRPr="00812417">
        <w:rPr>
          <w:rFonts w:ascii="Times New Roman" w:hAnsi="Times New Roman" w:cs="Times New Roman"/>
          <w:sz w:val="28"/>
          <w:szCs w:val="28"/>
        </w:rPr>
        <w:t>φ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)|| (11.9)</w:t>
      </w:r>
    </w:p>
    <w:p w14:paraId="1D63612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Полученное из этого представление используется в функции потерь в качестве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регуляризатора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гиперпараметром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регуляризации λ, также действующим как количество путаницы между источником и целевым доменом:</w:t>
      </w:r>
    </w:p>
    <w:p w14:paraId="089322B6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L = 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L,y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+ λ </w:t>
      </w:r>
      <w:r w:rsidRPr="00812417">
        <w:rPr>
          <w:rFonts w:ascii="Cambria Math" w:hAnsi="Cambria Math" w:cs="Cambria Math"/>
          <w:sz w:val="28"/>
          <w:szCs w:val="28"/>
        </w:rPr>
        <w:t>∗</w:t>
      </w:r>
      <w:r w:rsidRPr="00812417">
        <w:rPr>
          <w:rFonts w:ascii="Times New Roman" w:hAnsi="Times New Roman" w:cs="Times New Roman"/>
          <w:sz w:val="28"/>
          <w:szCs w:val="28"/>
        </w:rPr>
        <w:t xml:space="preserve"> MMD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                          (11.10)</w:t>
      </w:r>
    </w:p>
    <w:p w14:paraId="0FA7582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L,y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- это потеря классификации из помеченных данных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L,y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метка или основная истина, а MMD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- максимальное среднее расхождение (MMD) между исходным 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целевым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Гиперпараметр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λ контролирует степень путаницы между исходным и целевым доменами. Исследователи используют стандартную сеть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AlexNet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модифицируют ее, добавляя дополнительный слой узких мест более низкого измерения «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fc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Adaptive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». Низкоразмерный слой действует как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регуляризатор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предотвращает переоснащение исходного распределения. Обсуждаемые выше потери MMD добавляются поверх этого уровня, чтобы он изучал представление, полезное как для источника, так и для цели.</w:t>
      </w:r>
    </w:p>
    <w:p w14:paraId="21EE180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FCDFAF" wp14:editId="2C1E0FBF">
            <wp:extent cx="6084570" cy="34010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BA28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11.3: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Сеть глубокого смешения доменов (DDCN) для адаптации домена</w:t>
      </w:r>
    </w:p>
    <w:p w14:paraId="2D37B9F0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Сеть глубокой адаптации</w:t>
      </w:r>
    </w:p>
    <w:p w14:paraId="4DE5074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Long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предложите сеть глубокой адаптации (DAN), как показано на рис. 11.4, которая представляет собой модифицированный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AlexNet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где потеря несоответствия происходит на последних полностью подключенных уровнях [LW15]. Если нулевая гипотеза состоит в том, что выборки взяты из одного и того же распределения, а альтернативная гипотеза состоит в том, что они происходят из двух разных распределений, максимальное среднее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>расхождение (MMD) является одним из статистических подходов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Sej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+ 12]. Вариант MMD с несколькими ядрами (MK-MMD) измеряет расстояние в гильбертовом пространстве воспроизводящего ядра (RKHS) между средними вложенными слоями двух распределений (исходного и целевого) с характеристическим ядром k. Если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воспроизводящее ядро ​​гильбертова пространства, наделенное характеристическим ядром k, среднее вложение распределения p в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это единственный элемент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(p), такой что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f (x) = (f (x),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(p))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Hk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Квадрат расстояния для любого слоя l, ядра k между источником (S) и целью (T) определяется как:</w:t>
      </w:r>
    </w:p>
    <w:p w14:paraId="6655EA04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= ||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DS</w:t>
      </w:r>
      <w:r w:rsidRPr="00812417">
        <w:rPr>
          <w:rFonts w:ascii="Times New Roman" w:hAnsi="Times New Roman" w:cs="Times New Roman"/>
          <w:sz w:val="28"/>
          <w:szCs w:val="28"/>
        </w:rPr>
        <w:t xml:space="preserve"> [φ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)] -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DT</w:t>
      </w:r>
      <w:r w:rsidRPr="00812417">
        <w:rPr>
          <w:rFonts w:ascii="Times New Roman" w:hAnsi="Times New Roman" w:cs="Times New Roman"/>
          <w:sz w:val="28"/>
          <w:szCs w:val="28"/>
        </w:rPr>
        <w:t xml:space="preserve"> [φ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)]||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Hk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                (11.11)</w:t>
      </w:r>
    </w:p>
    <w:p w14:paraId="08FF7B8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Характеристическое ядро, связанное с отображением признаков φ, k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) = φ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), φ (x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), представляет собой комбинацию m положительных полуопределенных ядер {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k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} с ограничениями на коэффициенты β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812417">
        <w:rPr>
          <w:rFonts w:ascii="Times New Roman" w:hAnsi="Times New Roman" w:cs="Times New Roman"/>
          <w:sz w:val="28"/>
          <w:szCs w:val="28"/>
        </w:rPr>
        <w:t xml:space="preserve"> как предоставлено:</w:t>
      </w:r>
    </w:p>
    <w:p w14:paraId="4C32252F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K = {k =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812417">
        <w:rPr>
          <w:rFonts w:ascii="Times New Roman" w:hAnsi="Times New Roman" w:cs="Times New Roman"/>
          <w:sz w:val="28"/>
          <w:szCs w:val="28"/>
        </w:rPr>
        <w:t>β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812417">
        <w:rPr>
          <w:rFonts w:ascii="Times New Roman" w:hAnsi="Times New Roman" w:cs="Times New Roman"/>
          <w:sz w:val="28"/>
          <w:szCs w:val="28"/>
        </w:rPr>
        <w:t>k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: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812417">
        <w:rPr>
          <w:rFonts w:ascii="Times New Roman" w:hAnsi="Times New Roman" w:cs="Times New Roman"/>
          <w:sz w:val="28"/>
          <w:szCs w:val="28"/>
        </w:rPr>
        <w:t>β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1, β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812417">
        <w:rPr>
          <w:rFonts w:ascii="Times New Roman" w:hAnsi="Times New Roman" w:cs="Times New Roman"/>
          <w:sz w:val="28"/>
          <w:szCs w:val="28"/>
        </w:rPr>
        <w:t xml:space="preserve"> ≥ 0}                      (11.12)</w:t>
      </w:r>
    </w:p>
    <w:p w14:paraId="3AC958B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полученное многоядерное k является характеристическим из-за ограничений на коэффициенты {βu}.</w:t>
      </w:r>
    </w:p>
    <w:p w14:paraId="595C1EE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Модифицированный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AlexNet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имеет три уровня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сверточной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сети (conv1-conv3) в качестве общих переносимых слоев объектов, которые замораживаются после обучения в одном домене.</w:t>
      </w:r>
    </w:p>
    <w:p w14:paraId="3E1A118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Следующие два слоя свертки (conv4-conv5) более специфичны, и, следовательно, выполняется точная настройка для изучения специфичных для предметной области функций. Последние полностью связанные слои (f c6 - f c8) очень специфичны и не подлежат передаче, поэтому они адаптируются с помощью MK-MMD. Если все параметры в сети заданы как Θ = {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b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}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l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для всех слоев l, эмпирический риск определяется как:</w:t>
      </w:r>
    </w:p>
    <w:p w14:paraId="092050AD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Θ</w:t>
      </w:r>
      <w:r w:rsidRPr="00812417">
        <w:rPr>
          <w:rFonts w:ascii="Times New Roman" w:hAnsi="Times New Roman" w:cs="Times New Roman"/>
          <w:sz w:val="28"/>
          <w:szCs w:val="28"/>
        </w:rPr>
        <w:t>1/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na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812417">
        <w:rPr>
          <w:rFonts w:ascii="Times New Roman" w:hAnsi="Times New Roman" w:cs="Times New Roman"/>
          <w:sz w:val="28"/>
          <w:szCs w:val="28"/>
        </w:rPr>
        <w:t xml:space="preserve"> (Θ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                                      (11.13)</w:t>
      </w:r>
    </w:p>
    <w:p w14:paraId="37C3B96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J - функция потерь кросс-энтропии, а Θ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- условная вероятность присвоения точке данных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метки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Добавляя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регуляризатор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многоуровневой адаптации на основе MK-MMD к вышеуказанному риску, мы получаем потерю, аналогичную потере DDC, которую можно выразить как:</w:t>
      </w:r>
    </w:p>
    <w:p w14:paraId="6AAC022C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Θ</w:t>
      </w:r>
      <w:r w:rsidRPr="00812417">
        <w:rPr>
          <w:rFonts w:ascii="Times New Roman" w:hAnsi="Times New Roman" w:cs="Times New Roman"/>
          <w:sz w:val="28"/>
          <w:szCs w:val="28"/>
        </w:rPr>
        <w:t>1/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812417">
        <w:rPr>
          <w:rFonts w:ascii="Times New Roman" w:hAnsi="Times New Roman" w:cs="Times New Roman"/>
          <w:sz w:val="28"/>
          <w:szCs w:val="28"/>
        </w:rPr>
        <w:t>∑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na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812417">
        <w:rPr>
          <w:rFonts w:ascii="Times New Roman" w:hAnsi="Times New Roman" w:cs="Times New Roman"/>
          <w:sz w:val="28"/>
          <w:szCs w:val="28"/>
        </w:rPr>
        <w:t>J (Θ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+ λ∑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l2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l = l1</w:t>
      </w:r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k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(11.14)</w:t>
      </w:r>
    </w:p>
    <w:p w14:paraId="63DC51C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λ&gt; 0 - постоянная регуляризации, а 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6 и 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8 для установки DAN.</w:t>
      </w:r>
    </w:p>
    <w:p w14:paraId="163B6DC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4EDDB1" wp14:editId="249B97D5">
            <wp:extent cx="6009005" cy="29038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05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E731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11.4: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Сеть глубокой адаптации (DAN) для адаптации домена</w:t>
      </w:r>
    </w:p>
    <w:p w14:paraId="56C2C586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Представление, инвариантное к предметной области</w:t>
      </w:r>
    </w:p>
    <w:p w14:paraId="0920830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Многие методы используют представление, инвариантное к предметной области, с использованием исходных и целевых данных как способ изучения общего представления, которое может помочь в адаптации предметной области.</w:t>
      </w:r>
    </w:p>
    <w:p w14:paraId="3F50086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Выравнивание корреляции (CORAL) - это метод выравнивания статистики второго порядка (ковариации) источника и цели с помощью линейного преобразования. Сан и Саенко расширяют структуру, чтобы изучить нелинейное преобразование, выравнивающее корреляции слоев, известное как Deep CORAL [SS16]. Deep CORAL расширяет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AlexNet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вычисляет потерю статистики второго порядка на последнем уровне, т.е. полностью связанный слой перед выходом. Если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{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}, x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данные обучения исходного домена размером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а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{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u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}, u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немаркированные целевые данные размера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j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указывает j-е измерение i-го исходных данных. Например,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j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указывает j-е измерение i-го целевого экземпляра данных, C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это ковариационная матрица исходных признаков, а C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это целевая ковариационная матрица, тогда потери CORAL измеряются как расстояние между ковариациями:</w:t>
      </w:r>
    </w:p>
    <w:p w14:paraId="7C5E1A5F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CORAL = 1 / 4d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| C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- C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(11.15)</w:t>
      </w:r>
    </w:p>
    <w:p w14:paraId="4126A40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| · 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представляет квадрат нормы Фробениуса матрицы.</w:t>
      </w:r>
    </w:p>
    <w:p w14:paraId="026E66A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Ковариационные матрицы для источника и цели задаются следующим образом:</w:t>
      </w:r>
    </w:p>
    <w:p w14:paraId="6064AF31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 1 / (n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−1) (D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- 1 / n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(1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) (1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))             (11.16)</w:t>
      </w:r>
    </w:p>
    <w:p w14:paraId="11A1D02F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 1 / (n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−1)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- 1 / 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(1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) (1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))            (11.17)</w:t>
      </w:r>
    </w:p>
    <w:p w14:paraId="07BC5C5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где 1 - вектор-столбец. Совместное обучение, которое снижает потерю классификации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CLASS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потерю CORAL, дает:</w:t>
      </w:r>
    </w:p>
    <w:p w14:paraId="602F3119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CLASS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812417">
        <w:rPr>
          <w:rFonts w:ascii="Times New Roman" w:hAnsi="Times New Roman" w:cs="Times New Roman"/>
          <w:sz w:val="28"/>
          <w:szCs w:val="28"/>
        </w:rPr>
        <w:t>λ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iCORAL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                                                 (11.18)</w:t>
      </w:r>
    </w:p>
    <w:p w14:paraId="0D7B6E7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t - количество уровней, а λ используется для баланса между классификацией и адаптацией предметной области с целью изучения представления, общего между источником и целью (рис. 11.5).</w:t>
      </w:r>
    </w:p>
    <w:p w14:paraId="534991AA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Существуют и другие представления, не зависящие от предметной области, которые успешно используются в различных работах.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Pan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использовать представление, инвариантное к предметной области, с помощью анализа компонентов передачи, который использует максимальные средние расхождения (MMD) и пытается уменьшить расстояние между двумя доменами в подпространстве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Pan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+ 11].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Зеллингер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др. предложить новую функцию расстояния - несоответствие центрального момента (CMD) - для согласования центральных моментов более высокого порядка распределений вероятностей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Zel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+ 17]. Они демонстрируют универсальность своих методов адаптации предметной области в задачах распознавания объектов и классификации настроений (рис. 11.5).</w:t>
      </w:r>
    </w:p>
    <w:p w14:paraId="4865F6B5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Путаница в предметной области и инвариантное представление</w:t>
      </w:r>
    </w:p>
    <w:p w14:paraId="0AB6505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Tzeng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Недостаток путаницы в глубоком домене состоит в том, что ему нужны как большие помеченные данные в исходном домене, так и редко помеченные данные в целевом домене.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Tzeng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в своей работе предлагают потерю путаницы в домене как для помеченных, так и для немаркированных данных, чтобы изучить инвариантное представление в разных доменах и задач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+ 15].</w:t>
      </w:r>
    </w:p>
    <w:p w14:paraId="0F34607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1C99A1" wp14:editId="643E6165">
            <wp:extent cx="5973445" cy="3592195"/>
            <wp:effectExtent l="0" t="0" r="825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46BD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11.5:</w:t>
      </w:r>
      <w:r w:rsidRPr="00812417">
        <w:rPr>
          <w:rFonts w:ascii="Times New Roman" w:hAnsi="Times New Roman" w:cs="Times New Roman"/>
          <w:sz w:val="28"/>
          <w:szCs w:val="28"/>
        </w:rPr>
        <w:t xml:space="preserve"> Глубокая сеть CORAL для адаптации домена </w:t>
      </w:r>
    </w:p>
    <w:p w14:paraId="12894DE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Передача обучения между источником и доменом достигается за счет а) максимизации путаницы в предметной области путем создания предельных распределений между источником и целью как можно более похожими друг на друга; и б) перенос корреляции между классами, изученными на исходных примерах, в целевые примеры. Полностью помеченные исходные данные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и редко помеченные целевые данные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используются для создания классификатора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который работает с представлением признаков f (x;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), параметризованным параметрами представления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имеет хорошую точность в классифицированных целевых образцах:</w:t>
      </w:r>
    </w:p>
    <w:p w14:paraId="387E5F00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>; θ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r w:rsidRPr="00812417">
        <w:rPr>
          <w:rFonts w:ascii="Times New Roman" w:hAnsi="Times New Roman" w:cs="Times New Roman"/>
          <w:sz w:val="28"/>
          <w:szCs w:val="28"/>
        </w:rPr>
        <w:t>) = −∑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812417">
        <w:rPr>
          <w:rFonts w:ascii="Times New Roman" w:hAnsi="Times New Roman" w:cs="Times New Roman"/>
          <w:sz w:val="28"/>
          <w:szCs w:val="28"/>
        </w:rPr>
        <w:t>1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812417">
        <w:rPr>
          <w:rFonts w:ascii="Times New Roman" w:hAnsi="Times New Roman" w:cs="Times New Roman"/>
          <w:sz w:val="28"/>
          <w:szCs w:val="28"/>
        </w:rPr>
        <w:t xml:space="preserve">]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812417">
        <w:rPr>
          <w:rFonts w:ascii="Times New Roman" w:hAnsi="Times New Roman" w:cs="Times New Roman"/>
          <w:sz w:val="28"/>
          <w:szCs w:val="28"/>
        </w:rPr>
        <w:t>)                           (11.19)</w:t>
      </w:r>
    </w:p>
    <w:p w14:paraId="630F52C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</w:rPr>
        <w:t>где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p =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softmax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f (x;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)).</w:t>
      </w:r>
    </w:p>
    <w:p w14:paraId="5DE8471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Чтобы обеспечить выравнивание между классами в источнике и цели вместо наличия «жестких меток» для обучения, «мягкие метки» усредняются по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softmax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всех активаций помеченных исходных данных для конкретного класса. В функции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softmax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используется высокотемпературный параметр τ, так что связанные классы имеют аналогичные эффекты на вероятностную массу во время точной настройки. Потеря мягкой этикетки определяется по формуле:</w:t>
      </w:r>
    </w:p>
    <w:p w14:paraId="32FCBF56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soft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= −∑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yτ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                          (11.20)</w:t>
      </w:r>
    </w:p>
    <w:p w14:paraId="254508A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softmax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f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/ τ).</w:t>
      </w:r>
    </w:p>
    <w:p w14:paraId="6468DFC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 xml:space="preserve">Уровень классификатора домена с параметрами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используется для определения того, поступают ли данные из исходного или целевого домена. Лучший классификатор предметной области по представлению можно узнать, используя цель:</w:t>
      </w:r>
    </w:p>
    <w:p w14:paraId="265DC696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= −∑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>1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d]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q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    (11.21)</w:t>
      </w:r>
    </w:p>
    <w:p w14:paraId="7698348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где q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softmax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(θ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 xml:space="preserve"> f (x;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)).</w:t>
      </w:r>
    </w:p>
    <w:p w14:paraId="4824A05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Таким образом, для конкретного классификатора предметной области,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потеря, которая максимизирует путаницу, может рассматриваться как потеря кросс-энтропии между предсказанием предметной области и равномерным распределением по меткам и может быть записана как:</w:t>
      </w:r>
    </w:p>
    <w:p w14:paraId="402846E1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confusion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 = −∑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1/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log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           (11.22)</w:t>
      </w:r>
    </w:p>
    <w:p w14:paraId="643409B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Параметры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изучаются итеративно для следующих целей:</w:t>
      </w:r>
    </w:p>
    <w:p w14:paraId="3B64B0FB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θD</w:t>
      </w: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                                (11.23)</w:t>
      </w:r>
    </w:p>
    <w:p w14:paraId="20E65352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θ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repr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confusion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                             (11.24)</w:t>
      </w:r>
    </w:p>
    <w:p w14:paraId="3F1724D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Таким образом, совместная функция потерь может быть записана как:</w:t>
      </w:r>
    </w:p>
    <w:p w14:paraId="75EE1556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L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= 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+ </w:t>
      </w:r>
    </w:p>
    <w:p w14:paraId="49B58964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λL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confusion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+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νL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soft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repr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(11.25)</w:t>
      </w:r>
    </w:p>
    <w:p w14:paraId="546492A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где λ и ν -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гиперпараметры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которые контролируют смешение доменов и влияние мягкой метки во время оптимизации.</w:t>
      </w:r>
    </w:p>
    <w:p w14:paraId="3159E10A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Домен-состязательная нейронная сеть</w:t>
      </w:r>
    </w:p>
    <w:p w14:paraId="601AF91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Ганин и др. использовать интересную технику слоя «обратного градиента» для адаптации сдвига домена через нейронную сеть с противодействием домену (DANN)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+ 16b].</w:t>
      </w:r>
    </w:p>
    <w:p w14:paraId="05D3245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Этот процесс является общим для всех нейронных сетей и может быть легко обучен с помощью стандартных методов стохастического градиента. Они показывают самые современные результаты в различных областях компьютерного зрения и классификации настроений.</w:t>
      </w:r>
    </w:p>
    <w:p w14:paraId="102561B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Пусть S = {(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)}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Cambria Math" w:hAnsi="Cambria Math" w:cs="Cambria Math"/>
          <w:sz w:val="28"/>
          <w:szCs w:val="28"/>
        </w:rPr>
        <w:t>∼</w:t>
      </w:r>
      <w:r w:rsidRPr="00812417">
        <w:rPr>
          <w:rFonts w:ascii="Times New Roman" w:hAnsi="Times New Roman" w:cs="Times New Roman"/>
          <w:sz w:val="28"/>
          <w:szCs w:val="28"/>
        </w:rPr>
        <w:t xml:space="preserve"> (D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)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812417">
        <w:rPr>
          <w:rFonts w:ascii="Times New Roman" w:hAnsi="Times New Roman" w:cs="Times New Roman"/>
          <w:sz w:val="28"/>
          <w:szCs w:val="28"/>
        </w:rPr>
        <w:t>; T = {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}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 = n+1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Cambria Math" w:hAnsi="Cambria Math" w:cs="Cambria Math"/>
          <w:sz w:val="28"/>
          <w:szCs w:val="28"/>
        </w:rPr>
        <w:t>∼</w:t>
      </w:r>
      <w:r w:rsidRPr="00812417">
        <w:rPr>
          <w:rFonts w:ascii="Times New Roman" w:hAnsi="Times New Roman" w:cs="Times New Roman"/>
          <w:sz w:val="28"/>
          <w:szCs w:val="28"/>
        </w:rPr>
        <w:t xml:space="preserve"> (D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)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812417">
        <w:rPr>
          <w:rFonts w:ascii="Times New Roman" w:hAnsi="Times New Roman" w:cs="Times New Roman"/>
          <w:sz w:val="28"/>
          <w:szCs w:val="28"/>
        </w:rPr>
        <w:t xml:space="preserve"> быть исходными и целевыми данными, взятыми из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в качестве распределения; N = n + n - общее количество выборок. D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предельное распределение 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по входному пространству X, а</w:t>
      </w:r>
    </w:p>
    <w:p w14:paraId="0523647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Y = 0,1, ..., L − 1 - множество меток. Сеть имеет три важных уровня: (a) слои генерации признаков, которые изучают особенности из входных данных с параметрами.</w:t>
      </w:r>
    </w:p>
    <w:p w14:paraId="39D28DD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 xml:space="preserve">Скрытый слой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: X → 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 xml:space="preserve">, параметризованный парой матрица – вектор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(W, b):</w:t>
      </w:r>
    </w:p>
    <w:p w14:paraId="5D982BB3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= σ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b)                                            (11.26)</w:t>
      </w:r>
    </w:p>
    <w:p w14:paraId="31D14D8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(b) уровень предсказания метки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: 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 xml:space="preserve"> → [0,1]</w:t>
      </w:r>
    </w:p>
    <w:p w14:paraId="4597927A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L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параметризован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парой матрица – вектор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(V, c):</w:t>
      </w:r>
    </w:p>
    <w:p w14:paraId="62DB1DC5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(G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(x);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y) =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softmax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(Vx + c) (11.27)</w:t>
      </w:r>
    </w:p>
    <w:p w14:paraId="0B120B6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и (c) уровень классификации домена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: R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 xml:space="preserve"> → [0,1] представляет собой логистический регрессор, параметризованный векторно-скалярной парой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(u, z), которая предсказывает, из исходного или целевого домена взят пример. На рисунке 11.6 показано обучение на трех разных уровнях.</w:t>
      </w:r>
    </w:p>
    <w:p w14:paraId="4E4C130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Потеря прогноза для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может быть записана как:</w:t>
      </w:r>
    </w:p>
    <w:p w14:paraId="5783F978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             (11.28)</w:t>
      </w:r>
    </w:p>
    <w:p w14:paraId="7D06545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Потеря домена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), где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домен, может быть записана как:</w:t>
      </w:r>
    </w:p>
    <w:p w14:paraId="76DDC4EC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            (11.29)</w:t>
      </w:r>
    </w:p>
    <w:p w14:paraId="34D88AB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Общие потери при обучении для одноуровневой сети можно записать как:</w:t>
      </w:r>
    </w:p>
    <w:p w14:paraId="724F8259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total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= 1 /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n∑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=1</w:t>
      </w: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–</w:t>
      </w:r>
    </w:p>
    <w:p w14:paraId="6F487CAD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λ (1 /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n∑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=1</w:t>
      </w: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+ 1 /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417">
        <w:rPr>
          <w:rFonts w:ascii="Times New Roman" w:hAnsi="Times New Roman" w:cs="Times New Roman"/>
          <w:sz w:val="28"/>
          <w:szCs w:val="28"/>
        </w:rPr>
        <w:t xml:space="preserve"> ∑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+1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 xml:space="preserve"> (θ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>, 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>))      (11.30)</w:t>
      </w:r>
    </w:p>
    <w:p w14:paraId="4AE3EBD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Гиперпараметр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λ определяет компромисс между потерями. Параметры получаются путем решения уравнений:</w:t>
      </w:r>
    </w:p>
    <w:p w14:paraId="24DC503C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θˆ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θˆ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argmin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total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θˆ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      (11.31)</w:t>
      </w:r>
    </w:p>
    <w:p w14:paraId="32FEC432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θˆ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argmax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total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θˆ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θˆ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               (11.32)</w:t>
      </w:r>
    </w:p>
    <w:p w14:paraId="72B9870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Обновления градиента очень похожи на стандартный стохастический градиентный спуск со скоростью обучения μ, за исключением разворота с λ ∂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/∂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Слой инверсии градиента не имеет параметров, и его прямой проход является функцией идентичности, а обратный проход - это градиент от последующего слоя, умноженный на -1:</w:t>
      </w:r>
    </w:p>
    <w:p w14:paraId="527F1C92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</w:rPr>
        <w:t xml:space="preserve">← -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μ ∂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/∂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−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λ∂L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/ ∂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                          (11.33)</w:t>
      </w:r>
    </w:p>
    <w:p w14:paraId="7177E9DF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← -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∂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/ ∂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                                             (11.34)</w:t>
      </w:r>
    </w:p>
    <w:p w14:paraId="2054123D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← -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μ∂L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/∂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                                             (11.35)</w:t>
      </w:r>
    </w:p>
    <w:p w14:paraId="544C7C4F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49CDD9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Состязательная дискриминационная адаптация домена</w:t>
      </w:r>
    </w:p>
    <w:p w14:paraId="4B6ACDE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Tzeng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предложить состязательную дискриминационную адаптацию домена (ADDA), которая использует дискриминационный подход для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>изучения сдвигов домена, не имеет весов, привязанных между источником и целью, и имеет потерю GAN для вычисления состязательных потерь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+ 17].</w:t>
      </w:r>
    </w:p>
    <w:p w14:paraId="5B6B03F8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2B4A77" wp14:editId="3FD4993D">
            <wp:extent cx="6278880" cy="3141345"/>
            <wp:effectExtent l="0" t="0" r="762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41923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11.6:</w:t>
      </w:r>
      <w:r w:rsidRPr="00812417">
        <w:rPr>
          <w:rFonts w:ascii="Times New Roman" w:hAnsi="Times New Roman" w:cs="Times New Roman"/>
          <w:sz w:val="28"/>
          <w:szCs w:val="28"/>
        </w:rPr>
        <w:t xml:space="preserve"> Доменно-состязательная нейронная сеть</w:t>
      </w:r>
    </w:p>
    <w:p w14:paraId="6DC5179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Предположим, у нас есть исходные данные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метки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взятые из исходного распределения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(x, y), и целевые данные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из целевого распределения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(x, y) без меток. Цель состоит в том, чтобы изучить целевое отображение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классификатор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которые могут классифицировать K категорий.</w:t>
      </w:r>
    </w:p>
    <w:p w14:paraId="3D27382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В состязательных методах цель состоит в том, чтобы минимизировать расстояние распределения между исходным и целевым отображениями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), чтобы модель классификации источников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могла использоваться непосредственно на цели, так что C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Стандартные контролируемые потери можно записать как:</w:t>
      </w:r>
    </w:p>
    <w:p w14:paraId="24A1F57B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min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Ms,C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class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 = −E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812417">
        <w:rPr>
          <w:rFonts w:ascii="Cambria Math" w:hAnsi="Cambria Math" w:cs="Cambria Math"/>
          <w:sz w:val="28"/>
          <w:szCs w:val="28"/>
          <w:lang w:val="en-US"/>
        </w:rPr>
        <w:t>∼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45323D5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 ∑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k=1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[k =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ys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]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logC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(M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))                           (11.36)</w:t>
      </w:r>
    </w:p>
    <w:p w14:paraId="34928C6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Дискриминатор домена D классифицирует данные из источника или цели, а D оптимизируется с помощью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:</w:t>
      </w:r>
    </w:p>
    <w:p w14:paraId="75212627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= 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xs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))] – </w:t>
      </w:r>
    </w:p>
    <w:p w14:paraId="13C1A519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xt</w:t>
      </w:r>
      <w:r w:rsidRPr="00812417">
        <w:rPr>
          <w:rFonts w:ascii="Cambria Math" w:hAnsi="Cambria Math" w:cs="Cambria Math"/>
          <w:sz w:val="28"/>
          <w:szCs w:val="28"/>
          <w:vertAlign w:val="subscript"/>
          <w:lang w:val="en-US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Xt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[log (1 − D (M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)))]                                    (11.37)</w:t>
      </w:r>
    </w:p>
    <w:p w14:paraId="06E77E8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Потеря состязательного отображения определяется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:</w:t>
      </w:r>
    </w:p>
    <w:p w14:paraId="79EE080F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Ms,Mt</w:t>
      </w: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D) = 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xs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))] (11.38)</w:t>
      </w:r>
    </w:p>
    <w:p w14:paraId="3BB833CA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 xml:space="preserve">Обучение происходит поэтапно, как показано на рис. 11.7. Процесс начинается с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advclass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над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C с использованием помеченных данных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Затем мы можем выполнить состязательную адаптацию, оптимизируя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</w:t>
      </w:r>
    </w:p>
    <w:p w14:paraId="24A7AE7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7831D" wp14:editId="6D3DD416">
            <wp:extent cx="6088380" cy="310515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CDC2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11.7: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Состязательная дискриминационная адаптация домена</w:t>
      </w:r>
    </w:p>
    <w:p w14:paraId="66F6A499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Связанные генерирующие состязательные сети</w:t>
      </w:r>
    </w:p>
    <w:p w14:paraId="1F15790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Лю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Тузель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предлагают связанную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генеративно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-состязательную сеть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CoGAN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для изучения совместного распределения между двумя доменами и показывают, что она очень успешна в компьютерном зрении [LQH16]. Как обсуждалось в гл. 4, сети GAN состоят из генеративной и дискриминационной моделей. Генеративная модель используется для генерации синтетических данных, которые напоминают реальные данные, в то время как дискриминационная модель используется для их различения. Формально случайный вектор z вводится в генеративную модель, которая выводит g (z), имеющую ту же поддержку, что и вход x.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Дискриминативная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модель выводит f (x) = 1, если оно взято из действительного x </w:t>
      </w:r>
      <w:r w:rsidRPr="00812417">
        <w:rPr>
          <w:rFonts w:ascii="Cambria Math" w:hAnsi="Cambria Math" w:cs="Cambria Math"/>
          <w:sz w:val="28"/>
          <w:szCs w:val="28"/>
        </w:rPr>
        <w:t>∼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и f (x) = 0, если оно получено из синтетического или сгенерированного x </w:t>
      </w:r>
      <w:r w:rsidRPr="00812417">
        <w:rPr>
          <w:rFonts w:ascii="Cambria Math" w:hAnsi="Cambria Math" w:cs="Cambria Math"/>
          <w:sz w:val="28"/>
          <w:szCs w:val="28"/>
        </w:rPr>
        <w:t>∼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Таким образом, GAN можно рассматривать как минимаксную игру для двух игроков, решающую задачу оптимизации:</w:t>
      </w:r>
    </w:p>
    <w:p w14:paraId="15D07CD3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max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V (f, g) ≡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pX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[−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f (x)] + </w:t>
      </w:r>
    </w:p>
    <w:p w14:paraId="7A51737B" w14:textId="77777777" w:rsidR="000D6ECB" w:rsidRPr="00812417" w:rsidRDefault="000D6ECB" w:rsidP="0081241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z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pZ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[−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(1− f (g (z)))                                 (11.39)</w:t>
      </w:r>
    </w:p>
    <w:p w14:paraId="21C824C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CoGAN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как показано на рис. 11.8, есть две сети GAN для двух разных доменов.</w:t>
      </w:r>
    </w:p>
    <w:p w14:paraId="1638B4B3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Генеративные модели пытаются декодировать от функций более высокого уровня к функциям более низкого уровня, в отличие от дискриминационных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>моделей. Если 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являются двумя входными данными, взятыми из предельного распределения первого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Cambria Math" w:hAnsi="Cambria Math" w:cs="Cambria Math"/>
          <w:sz w:val="28"/>
          <w:szCs w:val="28"/>
        </w:rPr>
        <w:t>∼</w:t>
      </w:r>
      <w:r w:rsidRPr="00812417">
        <w:rPr>
          <w:rFonts w:ascii="Times New Roman" w:hAnsi="Times New Roman" w:cs="Times New Roman"/>
          <w:sz w:val="28"/>
          <w:szCs w:val="28"/>
        </w:rPr>
        <w:t xml:space="preserve"> 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X1</w:t>
      </w:r>
      <w:r w:rsidRPr="00812417">
        <w:rPr>
          <w:rFonts w:ascii="Times New Roman" w:hAnsi="Times New Roman" w:cs="Times New Roman"/>
          <w:sz w:val="28"/>
          <w:szCs w:val="28"/>
        </w:rPr>
        <w:t>) и второго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Cambria Math" w:hAnsi="Cambria Math" w:cs="Cambria Math"/>
          <w:sz w:val="28"/>
          <w:szCs w:val="28"/>
        </w:rPr>
        <w:t>∼</w:t>
      </w:r>
      <w:r w:rsidRPr="00812417">
        <w:rPr>
          <w:rFonts w:ascii="Times New Roman" w:hAnsi="Times New Roman" w:cs="Times New Roman"/>
          <w:sz w:val="28"/>
          <w:szCs w:val="28"/>
        </w:rPr>
        <w:t xml:space="preserve"> 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X2</w:t>
      </w:r>
      <w:r w:rsidRPr="00812417">
        <w:rPr>
          <w:rFonts w:ascii="Times New Roman" w:hAnsi="Times New Roman" w:cs="Times New Roman"/>
          <w:sz w:val="28"/>
          <w:szCs w:val="28"/>
        </w:rPr>
        <w:t>), соответственно, то генеративные модели GAN1 и GAN2 отображают случайный вектор z в примеры, имеющие ту же поддержку, что и 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>. Распределение 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(z) и 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(z) есть 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G</w:t>
      </w:r>
      <w:r w:rsidRPr="00812417">
        <w:rPr>
          <w:rFonts w:ascii="Times New Roman" w:hAnsi="Times New Roman" w:cs="Times New Roman"/>
          <w:sz w:val="28"/>
          <w:szCs w:val="28"/>
        </w:rPr>
        <w:t>1 и 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G</w:t>
      </w:r>
      <w:r w:rsidRPr="00812417">
        <w:rPr>
          <w:rFonts w:ascii="Times New Roman" w:hAnsi="Times New Roman" w:cs="Times New Roman"/>
          <w:sz w:val="28"/>
          <w:szCs w:val="28"/>
        </w:rPr>
        <w:t>2. Когда 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реализованы как MLP, мы можем написать:</w:t>
      </w:r>
    </w:p>
    <w:p w14:paraId="187903E8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(z) = g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(m1)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(g 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(m1−1)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(··· g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(2)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(g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(1)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(z))))         (11.40) </w:t>
      </w:r>
    </w:p>
    <w:p w14:paraId="75979CB1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(z) = g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(m2)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(g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(m2−1)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(··· g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(2)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(g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(1)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>(z))))           (11.41)</w:t>
      </w:r>
    </w:p>
    <w:p w14:paraId="54632218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g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g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слои в соответствующих ГАН со слоями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соответственно. Структура для первых нескольких слоев и веса идентичны, что ограничивает</w:t>
      </w:r>
    </w:p>
    <w:p w14:paraId="7A1FCCDB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gi1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gi2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</w:rPr>
        <w:t>для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 0,1, ... k                                   (11.42)</w:t>
      </w:r>
    </w:p>
    <w:p w14:paraId="3102DB1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k - общие слои, а 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gi1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gi2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параметры 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i2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соответственно. Это ограничение позволяет первым уровням, которые декодируют высокоуровневые функции, декодировать их одинаково для обоих генераторов 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>.</w:t>
      </w:r>
    </w:p>
    <w:p w14:paraId="559C63D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Дискриминационные модели сопоставляют входные данные с вероятностью, оценивая вероятность того, что входные данные получены из распределения данных. Если 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соответствуют уровням дискриминантных сетей для двух GAN с 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уровнями, это можно записать как:</w:t>
      </w:r>
    </w:p>
    <w:p w14:paraId="6BAFF2F1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>) = 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(n1)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>(f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(n1−1)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(···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(2)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(1)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>))))                 (11.43)</w:t>
      </w:r>
    </w:p>
    <w:p w14:paraId="580809B3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) =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2−1)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(···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(2)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(1)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>))))                (11.44)</w:t>
      </w:r>
    </w:p>
    <w:p w14:paraId="4769057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слои в соответствующих 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со слоями 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соответственно.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Дискриминативные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модели работают в отличие от генеративных моделей для извлечения низкоуровневых объектов на первых слоях и высокоуровневых объектов на последних слоях. Чтобы гарантировать, что данные имеют одинаковые высокоуровневые функции, мы разделяем последние слои, используя:</w:t>
      </w:r>
    </w:p>
    <w:p w14:paraId="2304C170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f (n1 −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)1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f(n2 −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)2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 0,1, ... </w:t>
      </w:r>
      <w:r w:rsidRPr="00812417">
        <w:rPr>
          <w:rFonts w:ascii="Times New Roman" w:hAnsi="Times New Roman" w:cs="Times New Roman"/>
          <w:sz w:val="28"/>
          <w:szCs w:val="28"/>
        </w:rPr>
        <w:t>(l −1)                  (11.45)</w:t>
      </w:r>
    </w:p>
    <w:p w14:paraId="087DB98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l - общие слои, а 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fi1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fi2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параметры 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f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соответственно. Можно показать, что обучение в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CoGAN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соответствует минимаксной игре с ограничениями, задаваемой формулой:</w:t>
      </w:r>
    </w:p>
    <w:p w14:paraId="5A437A0F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g1,g2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f1,f2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V (g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, g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, f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, f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69AE819D" w14:textId="77777777" w:rsidR="000D6ECB" w:rsidRPr="00812417" w:rsidRDefault="000D6ECB" w:rsidP="0081241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при условии 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gi1</w:t>
      </w:r>
      <w:r w:rsidRPr="00812417">
        <w:rPr>
          <w:rFonts w:ascii="Times New Roman" w:hAnsi="Times New Roman" w:cs="Times New Roman"/>
          <w:sz w:val="28"/>
          <w:szCs w:val="28"/>
        </w:rPr>
        <w:t xml:space="preserve"> = 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gi2</w:t>
      </w:r>
      <w:r w:rsidRPr="00812417">
        <w:rPr>
          <w:rFonts w:ascii="Times New Roman" w:hAnsi="Times New Roman" w:cs="Times New Roman"/>
          <w:sz w:val="28"/>
          <w:szCs w:val="28"/>
        </w:rPr>
        <w:t xml:space="preserve">  i = 0,1, ... k</w:t>
      </w:r>
    </w:p>
    <w:p w14:paraId="66AF6103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f (n1 −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) 1 =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f (n2 −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) 2f </w:t>
      </w:r>
      <w:r w:rsidRPr="00812417">
        <w:rPr>
          <w:rFonts w:ascii="Times New Roman" w:hAnsi="Times New Roman" w:cs="Times New Roman"/>
          <w:sz w:val="28"/>
          <w:szCs w:val="28"/>
        </w:rPr>
        <w:t>или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 0,1, ... </w:t>
      </w:r>
      <w:r w:rsidRPr="00812417">
        <w:rPr>
          <w:rFonts w:ascii="Times New Roman" w:hAnsi="Times New Roman" w:cs="Times New Roman"/>
          <w:sz w:val="28"/>
          <w:szCs w:val="28"/>
        </w:rPr>
        <w:t>(l −1) (11.46)</w:t>
      </w:r>
    </w:p>
    <w:p w14:paraId="7129AF6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функция цены V определяется выражением:</w:t>
      </w:r>
    </w:p>
    <w:p w14:paraId="673A8078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>max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g1,g2</w:t>
      </w:r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f1,f2</w:t>
      </w:r>
      <w:r w:rsidRPr="00812417">
        <w:rPr>
          <w:rFonts w:ascii="Times New Roman" w:hAnsi="Times New Roman" w:cs="Times New Roman"/>
          <w:sz w:val="28"/>
          <w:szCs w:val="28"/>
        </w:rPr>
        <w:t>V (g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>, 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>, 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>, 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>) = 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x1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pX1</w:t>
      </w:r>
      <w:r w:rsidRPr="00812417">
        <w:rPr>
          <w:rFonts w:ascii="Times New Roman" w:hAnsi="Times New Roman" w:cs="Times New Roman"/>
          <w:sz w:val="28"/>
          <w:szCs w:val="28"/>
        </w:rPr>
        <w:t xml:space="preserve"> [−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>)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)] + </w:t>
      </w:r>
    </w:p>
    <w:p w14:paraId="4A5F6039" w14:textId="77777777" w:rsidR="000D6ECB" w:rsidRPr="00812417" w:rsidRDefault="000D6ECB" w:rsidP="00812417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z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pZ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[−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(1− 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(z)))] + 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x2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pX2</w:t>
      </w:r>
      <w:r w:rsidRPr="00812417">
        <w:rPr>
          <w:rFonts w:ascii="Times New Roman" w:hAnsi="Times New Roman" w:cs="Times New Roman"/>
          <w:sz w:val="28"/>
          <w:szCs w:val="28"/>
        </w:rPr>
        <w:t xml:space="preserve"> [−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))] +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Ez</w:t>
      </w:r>
      <w:r w:rsidRPr="00812417">
        <w:rPr>
          <w:rFonts w:ascii="Cambria Math" w:hAnsi="Cambria Math" w:cs="Cambria Math"/>
          <w:sz w:val="28"/>
          <w:szCs w:val="28"/>
        </w:rPr>
        <w:t>∼</w:t>
      </w:r>
      <w:r w:rsidRPr="00812417">
        <w:rPr>
          <w:rFonts w:ascii="Times New Roman" w:hAnsi="Times New Roman" w:cs="Times New Roman"/>
          <w:sz w:val="28"/>
          <w:szCs w:val="28"/>
        </w:rPr>
        <w:t>pZ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[−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(1 − f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(g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(z)))                           (11.47)</w:t>
      </w:r>
    </w:p>
    <w:p w14:paraId="47FB425F" w14:textId="77777777" w:rsidR="000D6ECB" w:rsidRPr="00812417" w:rsidRDefault="000D6ECB" w:rsidP="00812417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14:paraId="0D2E244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Основное преимущество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CoGAN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заключается в том, что, отбирая выборки отдельно от предельных распределений,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CoGAN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может очень эффективно изучить совместное распределение из двух доменов.</w:t>
      </w:r>
    </w:p>
    <w:p w14:paraId="3E32BBF8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Циклические состязательные сети</w:t>
      </w:r>
    </w:p>
    <w:p w14:paraId="3B61DC7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Циклически согласованные состязательные сети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CycleGAN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), предложенные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Zhu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были одной из самых инновационных генерирующих враждебных сетей в последнее время и получили широкое применение в различных областях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Zhu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+ 17]. Концепция последовательности цикла означает, что если мы переводим предложение с языка A на язык B, то перевод его с языка B на язык A должен дать аналогичное предложение.</w:t>
      </w:r>
    </w:p>
    <w:p w14:paraId="3453334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Основная идея состоит в том, чтобы научиться переходить из исходного домена X в целевой домен Y, когда в обучающих данных нет соответствующих им примеров.</w:t>
      </w:r>
    </w:p>
    <w:p w14:paraId="76E3A653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Это выполняется в два этапа: а) изучение отображения G: X - → Y, так что невозможно узнать, пришли ли данные из G (X) или Y с использованием состязательной потери; и б) изучение обратного отображения F: Y - → X и введение потери согласованности цикла так, чтобы</w:t>
      </w:r>
    </w:p>
    <w:p w14:paraId="1670B571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F (G (X)) = X и G (F (Y)) = Y (рис. 11.9).</w:t>
      </w:r>
    </w:p>
    <w:p w14:paraId="7CED6A1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Обучение, когда G (x) пытается сгенерировать данные, похожие на y, в то время как дискриминатор DY стремится различать G (x) и действительный y, можно выразить как:</w:t>
      </w:r>
    </w:p>
    <w:p w14:paraId="3B0CF85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FE470D" wp14:editId="70F8AFB0">
            <wp:extent cx="6278880" cy="289687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FC36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lastRenderedPageBreak/>
        <w:t>Рис. 11.8: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Сопряженные генеративные состязательные сети</w:t>
      </w:r>
    </w:p>
    <w:p w14:paraId="3B17F6D3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DY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GAN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(G,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, X, Y)                           (11.48)</w:t>
      </w:r>
    </w:p>
    <w:p w14:paraId="2164BD5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</w:rPr>
        <w:t>где</w:t>
      </w:r>
    </w:p>
    <w:p w14:paraId="30BF9CE6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GAN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(G,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X, Y) =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Cambria Math" w:hAnsi="Cambria Math" w:cs="Cambria Math"/>
          <w:sz w:val="28"/>
          <w:szCs w:val="28"/>
          <w:vertAlign w:val="subscript"/>
          <w:lang w:val="en-US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pdata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(y) [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logD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(y)] + </w:t>
      </w:r>
    </w:p>
    <w:p w14:paraId="41F3008A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812417">
        <w:rPr>
          <w:rFonts w:ascii="Cambria Math" w:hAnsi="Cambria Math" w:cs="Cambria Math"/>
          <w:sz w:val="28"/>
          <w:szCs w:val="28"/>
          <w:vertAlign w:val="subscript"/>
          <w:lang w:val="en-US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pdata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(x)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[log (1 −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(G (x)))]                 (11.49)</w:t>
      </w:r>
    </w:p>
    <w:p w14:paraId="226897EF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99719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по аналогии</w:t>
      </w:r>
    </w:p>
    <w:p w14:paraId="16A73F18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DX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GAN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(F,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, Y, X)                            (11.50)</w:t>
      </w:r>
    </w:p>
    <w:p w14:paraId="292C26A8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LGAN (F, DX, Y, X) =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812417">
        <w:rPr>
          <w:rFonts w:ascii="Cambria Math" w:hAnsi="Cambria Math" w:cs="Cambria Math"/>
          <w:sz w:val="28"/>
          <w:szCs w:val="28"/>
          <w:vertAlign w:val="subscript"/>
          <w:lang w:val="en-US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pdata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(x)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logD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(x)] + </w:t>
      </w:r>
    </w:p>
    <w:p w14:paraId="1DD3B195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Cambria Math" w:hAnsi="Cambria Math" w:cs="Cambria Math"/>
          <w:sz w:val="28"/>
          <w:szCs w:val="28"/>
          <w:vertAlign w:val="subscript"/>
          <w:lang w:val="en-US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pdata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(y)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[log (1 −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(F (y)))]                 (11.51)</w:t>
      </w:r>
    </w:p>
    <w:p w14:paraId="5D505D98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F23807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Потеря согласованности цикла заключается в переносе исходных данных x из перевода x → G (x) → F (G (x)) ≈ x для области x и y из перевода y → F (y) → G (F (y)) ≈ y, записанное как:</w:t>
      </w:r>
    </w:p>
    <w:p w14:paraId="40040C74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cyc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(G, F)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pdata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(x)</w:t>
      </w:r>
      <w:r w:rsidRPr="00812417">
        <w:rPr>
          <w:rFonts w:ascii="Times New Roman" w:hAnsi="Times New Roman" w:cs="Times New Roman"/>
          <w:sz w:val="28"/>
          <w:szCs w:val="28"/>
        </w:rPr>
        <w:t xml:space="preserve"> [||F (G(x)) – x||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] + </w:t>
      </w:r>
    </w:p>
    <w:p w14:paraId="765E9308" w14:textId="77777777" w:rsidR="000D6ECB" w:rsidRPr="00812417" w:rsidRDefault="000D6ECB" w:rsidP="0081241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pdata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812417">
        <w:rPr>
          <w:rFonts w:ascii="Times New Roman" w:hAnsi="Times New Roman" w:cs="Times New Roman"/>
          <w:sz w:val="28"/>
          <w:szCs w:val="28"/>
        </w:rPr>
        <w:t xml:space="preserve"> [||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)) –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>||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>]                      (11.52 )</w:t>
      </w:r>
    </w:p>
    <w:p w14:paraId="253B926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Таким образом, общая цель может быть записана как:</w:t>
      </w:r>
    </w:p>
    <w:p w14:paraId="796BE329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total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(G, F,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,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) = 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GAN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(G,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X, Y) + </w:t>
      </w:r>
    </w:p>
    <w:p w14:paraId="3AF69E1F" w14:textId="77777777" w:rsidR="000D6ECB" w:rsidRPr="00812417" w:rsidRDefault="000D6ECB" w:rsidP="00812417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GAN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(F, D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Y, X) + </w:t>
      </w:r>
      <w:r w:rsidRPr="00812417">
        <w:rPr>
          <w:rFonts w:ascii="Times New Roman" w:hAnsi="Times New Roman" w:cs="Times New Roman"/>
          <w:sz w:val="28"/>
          <w:szCs w:val="28"/>
        </w:rPr>
        <w:t>λ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cyc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(G, F)            (11.53)</w:t>
      </w:r>
    </w:p>
    <w:p w14:paraId="221CD96A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8D76B" wp14:editId="29ECEDAD">
            <wp:extent cx="6201410" cy="1579880"/>
            <wp:effectExtent l="0" t="0" r="889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7C4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11.9:</w:t>
      </w:r>
      <w:r w:rsidRPr="00812417">
        <w:rPr>
          <w:rFonts w:ascii="Times New Roman" w:hAnsi="Times New Roman" w:cs="Times New Roman"/>
          <w:sz w:val="28"/>
          <w:szCs w:val="28"/>
        </w:rPr>
        <w:t xml:space="preserve"> Циклически генерирующие состязательные сети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CycleGAN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с последовательностью прямого цикла и последовательностью обратного цикла</w:t>
      </w:r>
    </w:p>
    <w:p w14:paraId="31261958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CycleGAN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не требует, чтобы пары данных в доменах совпадали. Он может изучить лежащие в основе отношения и помочь в переходе между доменами.</w:t>
      </w:r>
    </w:p>
    <w:p w14:paraId="1DA7257B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Сети разделения доменов</w:t>
      </w:r>
    </w:p>
    <w:p w14:paraId="3055915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Сети разделения доменов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Bousmalis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иметь частные кодировщики для изучения отдельных доменов, общие кодировщики для изучения общих представлений в разных доменах, общий декодер для эффективного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>обобщения с использованием потерь восстановления и классификатор, использующий общие представления для устойчивости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Bou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+ 16].</w:t>
      </w:r>
    </w:p>
    <w:p w14:paraId="5DB660A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Исходный домен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имеет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помеченных данных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s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s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а целевой домен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имеет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немаркированных данных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t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Пусть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(x;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будет функцией, которая отображает вход x в скрытое представление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для представления, которое является частным для области.</w:t>
      </w:r>
    </w:p>
    <w:p w14:paraId="38A76FB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Пусть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будет функцией, которая отображает вход x в скрытое представление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общее для источника и цели. Пусть D (h;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будет функцией декодирования, которая отображает скрытое представление h в исходную реконструкцию xˆ. Реконструкция может быть дана как xˆ = D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(x) +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(x)). Пусть G (h;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θg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- функция классификатора, которая отображает скрытое представление h в предсказания yˆ, заданные как yˆ = G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(x)).</w:t>
      </w:r>
    </w:p>
    <w:p w14:paraId="0A749E8A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На рисунке 11.10 показан весь процесс DSN.</w:t>
      </w:r>
    </w:p>
    <w:p w14:paraId="36F2C15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Общие потери можно записать как:</w:t>
      </w:r>
    </w:p>
    <w:p w14:paraId="19EF0836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total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</w:rPr>
        <w:t>θ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) =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class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812417">
        <w:rPr>
          <w:rFonts w:ascii="Times New Roman" w:hAnsi="Times New Roman" w:cs="Times New Roman"/>
          <w:sz w:val="28"/>
          <w:szCs w:val="28"/>
        </w:rPr>
        <w:t>α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recon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</w:p>
    <w:p w14:paraId="021AB38C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</w:rPr>
        <w:t>β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difference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812417">
        <w:rPr>
          <w:rFonts w:ascii="Times New Roman" w:hAnsi="Times New Roman" w:cs="Times New Roman"/>
          <w:sz w:val="28"/>
          <w:szCs w:val="28"/>
        </w:rPr>
        <w:t>γ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similarity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(11.54)</w:t>
      </w:r>
    </w:p>
    <w:p w14:paraId="5566B09D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F925E1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гиперпараметры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</w:rPr>
        <w:t>α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</w:rPr>
        <w:t>β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</w:rPr>
        <w:t>γ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</w:rPr>
        <w:t>определяют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</w:rPr>
        <w:t>вес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</w:rPr>
        <w:t>каждого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</w:rPr>
        <w:t>члена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</w:rPr>
        <w:t>потерь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12417">
        <w:rPr>
          <w:rFonts w:ascii="Times New Roman" w:hAnsi="Times New Roman" w:cs="Times New Roman"/>
          <w:sz w:val="28"/>
          <w:szCs w:val="28"/>
        </w:rPr>
        <w:t>Потеря классификации - это стандартная отрицательная логарифмическая вероятность, определяемая по формуле:</w:t>
      </w:r>
    </w:p>
    <w:p w14:paraId="0D2F734B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class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 −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Ns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= 0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· log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yˆ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                               (11.55)</w:t>
      </w:r>
    </w:p>
    <w:p w14:paraId="7066B1C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Потери реконструкции вычисляются с использованием масштабно-инвариантной среднеквадратичной ошибки:</w:t>
      </w:r>
    </w:p>
    <w:p w14:paraId="2EBFF019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recon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 −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Ns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= 0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si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mse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xˆ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                               (11.56)</w:t>
      </w:r>
    </w:p>
    <w:p w14:paraId="146AB4D8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Потеря разницы, как следует из названия, применяется к обоим доменам и предназначена для захвата различных аспектов входных данных для частных и общих кодировщиков. Пусть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s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t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будут строками матриц, которые являются общими между исходным и целевым скрытыми слоями. Пусть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s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t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будут строками матриц, которые являются частными для источника и целевых скрытых слоев. Потеря разницы определяется как:</w:t>
      </w:r>
    </w:p>
    <w:p w14:paraId="5CA87A10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difference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||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+ ||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                    (11.57)</w:t>
      </w:r>
    </w:p>
    <w:p w14:paraId="465FAF7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|| · ||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квадрат нормы Фробениуса.</w:t>
      </w:r>
    </w:p>
    <w:p w14:paraId="5FDB91D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Потеря сходства между доменами, направленная на максимизацию «путаницы», достигается с помощью уровня обращения градиента и классификатора предметной области для прогнозирования предметной области. Если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0,1 является основной истинностью областей для данных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lastRenderedPageBreak/>
        <w:t>dˆ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0,1 является прогнозируемым значением области, то состязательное обучение может быть достигнуто с помощью:</w:t>
      </w:r>
    </w:p>
    <w:p w14:paraId="0577D47C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DANN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подобие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Ns+Nt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 = 0</w:t>
      </w:r>
      <w:r w:rsidRPr="00812417">
        <w:rPr>
          <w:rFonts w:ascii="Times New Roman" w:hAnsi="Times New Roman" w:cs="Times New Roman"/>
          <w:sz w:val="28"/>
          <w:szCs w:val="28"/>
        </w:rPr>
        <w:t xml:space="preserve"> {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logdˆ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</w:t>
      </w:r>
    </w:p>
    <w:p w14:paraId="611F3C90" w14:textId="77777777" w:rsidR="000D6ECB" w:rsidRPr="00812417" w:rsidRDefault="000D6ECB" w:rsidP="0081241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(1 −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(1 −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dˆ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)}                                   (11.58)</w:t>
      </w:r>
    </w:p>
    <w:p w14:paraId="06633DE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Потери максимального среднего несоответствия (MMD) также можно использовать вместо DANN, описанного выше.</w:t>
      </w:r>
    </w:p>
    <w:p w14:paraId="284A756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highlight w:val="lightGray"/>
        </w:rPr>
        <w:t>Сети разделения доменов явно и совместно захватывают как частные, так и совместно используемые компоненты представлений доменов, что делает их менее уязвимыми для шума, который коррелирует с совместно используемыми распределениями.</w:t>
      </w:r>
    </w:p>
    <w:p w14:paraId="4B85AF07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Теория</w:t>
      </w:r>
    </w:p>
    <w:p w14:paraId="6298808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Мы опишем две темы, которые были изучены за последние пару лет, чтобы дать формальное отображение адаптации предметной области, которое применимо в области глубокого обучения. Одним из них является обобщение большинства сетей адаптации домена, проведенное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Tzeng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+ 17], а другой - теория оптимизации транспорта для теоретической основы адаптации предметной области [RHS17].</w:t>
      </w:r>
    </w:p>
    <w:p w14:paraId="0F8689FE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Адаптация домена на основе сиамских сетей</w:t>
      </w:r>
    </w:p>
    <w:p w14:paraId="3768806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Tzeng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представляют обобщенную сиамскую архитектуру, которая охватывает большинство реализаций в адаптации предметной области с использованием глубокого обучения, как показано на рис. 11.11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Tze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+ 17]. В архитектуре есть два потока: исходный вход помечен, а целевой вход не помечен. Обучение проводится с комбинацией потери классификации с потерей из-за несоответствия или из-за состязательности. Потеря классификации рассчитывается только с использованием помеченных исходных данных. Потеря несоответствия вычисляется на основе сдвига домена между источником и целью. Состязательная потеря пытается уловить скрытые особенности, используя состязательную цель по отношению к дискриминатору домена. Это исследование помогает представить все архитектуры, рассматриваемые как различные расширения общей архитектуры, с изменениями в том, как вычисляются потери классификации, потери несоответствия и состязательные потери.</w:t>
      </w:r>
    </w:p>
    <w:p w14:paraId="3F13EDC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66DC78" wp14:editId="62249A2B">
            <wp:extent cx="6201410" cy="3485515"/>
            <wp:effectExtent l="0" t="0" r="889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5C1C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11.10: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Сети разделения доменов (DSN)</w:t>
      </w:r>
    </w:p>
    <w:p w14:paraId="5E3720D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Эта установка может быть обобщена для отрисовки образцов с меткой источника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из распределения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(x, y) и немаркированных целевых выборок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из распределения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p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(x, y). Цель состоит в том, чтобы узнать из исходных примеров и классификатора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отображение представления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, а также получить целевое отображение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 классификатором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во время прогнозирования, который учится классифицировать невидимые примеры по k категориям.</w:t>
      </w:r>
    </w:p>
    <w:p w14:paraId="03F3D19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Цель большинства состязательных методов - минимизировать расстояние между распределениями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), что неявно означает, что в большинстве случаев исходный и целевой классификаторы могут быть одинаковыми C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Классификация источников может быть дана в общей форме оптимизации потерь как:</w:t>
      </w:r>
    </w:p>
    <w:p w14:paraId="3BBB6C03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MS,C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класс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) = −E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xs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ys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(XS, YS)</w:t>
      </w:r>
      <w:r w:rsidRPr="00812417">
        <w:rPr>
          <w:rFonts w:ascii="Times New Roman" w:hAnsi="Times New Roman" w:cs="Times New Roman"/>
          <w:sz w:val="28"/>
          <w:szCs w:val="28"/>
        </w:rPr>
        <w:t xml:space="preserve">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=1</w:t>
      </w:r>
      <w:r w:rsidRPr="00812417">
        <w:rPr>
          <w:rFonts w:ascii="Times New Roman" w:hAnsi="Times New Roman" w:cs="Times New Roman"/>
          <w:sz w:val="28"/>
          <w:szCs w:val="28"/>
        </w:rPr>
        <w:t>1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[k =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ys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]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2B7BBE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))                                             (11.59)</w:t>
      </w:r>
    </w:p>
    <w:p w14:paraId="3F36FAE5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43F8F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Дискриминатор домена D, который классифицирует, извлекаются ли данные из источника или цели, может быть записан как:</w:t>
      </w:r>
    </w:p>
    <w:p w14:paraId="39B3B49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3B54C4" wp14:editId="4C2FACC8">
            <wp:extent cx="5703570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2CA0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11.11: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Сиамские сети для обобщения реализации адаптации домена</w:t>
      </w:r>
    </w:p>
    <w:p w14:paraId="57AE81CE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,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) = 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xs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))] – </w:t>
      </w:r>
    </w:p>
    <w:p w14:paraId="5CB6AC4D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xt</w:t>
      </w:r>
      <w:r w:rsidRPr="00812417">
        <w:rPr>
          <w:rFonts w:ascii="Cambria Math" w:hAnsi="Cambria Math" w:cs="Cambria Math"/>
          <w:sz w:val="28"/>
          <w:szCs w:val="28"/>
          <w:vertAlign w:val="subscript"/>
          <w:lang w:val="en-US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XT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[log (1 − D (M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>)))]                         (11.60)</w:t>
      </w:r>
    </w:p>
    <w:p w14:paraId="66FCF876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1D4B5B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С ограничениями сопоставления источника и цели, заданными ψ(M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), дискриминатор D, который может различать их, может быть захвачен как враждебная цель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84AED37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,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MS,MT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, D) </w:t>
      </w:r>
    </w:p>
    <w:p w14:paraId="5D7B2D5F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s.tψ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(M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)                                                   (11.61)</w:t>
      </w:r>
    </w:p>
    <w:p w14:paraId="59887FE9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9FE4C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С помощью этой общей структуры теперь можно понять различные методы, описанные в области адаптации.</w:t>
      </w:r>
    </w:p>
    <w:p w14:paraId="6518D65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Процесс обращения градиента может быть записан в терминах оптимизации потерь дискриминатора непосредственно как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</w:t>
      </w:r>
    </w:p>
    <w:p w14:paraId="04E4F52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При использовании GAN возникают две потери: потеря дискриминатора и потеря генератора. Потери дискриминатора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остаются прежними, а потери генератора могут быть записаны как:</w:t>
      </w:r>
    </w:p>
    <w:p w14:paraId="5E9E59B9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, D) = −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xt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))]    (11,62)</w:t>
      </w:r>
    </w:p>
    <w:p w14:paraId="7BE4E5A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Потеря путаницы в домене может быть записана как минимизация потери кросс-энтропии, определяемой следующим образом:</w:t>
      </w:r>
    </w:p>
    <w:p w14:paraId="174AEA2C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advM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12417">
        <w:rPr>
          <w:rFonts w:ascii="Times New Roman" w:hAnsi="Times New Roman" w:cs="Times New Roman"/>
          <w:sz w:val="28"/>
          <w:szCs w:val="28"/>
        </w:rPr>
        <w:t>, 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T</w:t>
      </w:r>
      <w:r w:rsidRPr="00812417">
        <w:rPr>
          <w:rFonts w:ascii="Times New Roman" w:hAnsi="Times New Roman" w:cs="Times New Roman"/>
          <w:sz w:val="28"/>
          <w:szCs w:val="28"/>
        </w:rPr>
        <w:t>, D) = - ∑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∈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s,t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xd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∼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XD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[1/2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logD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)) + </w:t>
      </w:r>
    </w:p>
    <w:p w14:paraId="30065DF2" w14:textId="77777777" w:rsidR="000D6ECB" w:rsidRPr="00812417" w:rsidRDefault="000D6ECB" w:rsidP="0081241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1/2log (1 − D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d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)))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r w:rsidRPr="00812417">
        <w:rPr>
          <w:rFonts w:ascii="Times New Roman" w:hAnsi="Times New Roman" w:cs="Times New Roman"/>
          <w:sz w:val="28"/>
          <w:szCs w:val="28"/>
        </w:rPr>
        <w:t>(11.63)</w:t>
      </w:r>
    </w:p>
    <w:p w14:paraId="7F4EDD15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Оптимальная транспортировка</w:t>
      </w:r>
    </w:p>
    <w:p w14:paraId="0F847C7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 xml:space="preserve">В последние несколько лет теория оптимального транспорта приобрела известность в различных областях статистики, оптимизации и машинного обучения. Оптимальный транспорт можно рассматривать как способ измерения переноса данных между двумя разными распределениями, который основан на геометрии точек данных в двух и имеет функцию затрат, связанную с транспортировкой [Mon81]. Этот транспортный механизм очень хорошо отображается на адаптацию домена, где исходный и целевой домены могут рассматриваться как два разных распределения, а оптимальный транспорт объясняет как теорию, так и оптимизацию отображения. Расстояние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Вассерштайна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в оптимальном транспорте, который используется для измерения расстояния между двумя распределениями, может также использоваться как цель минимизации или функция регуляризации в общей функции потерь. Оптимальный транспорт был использован, чтобы дать хорошее обобщение, привязанное к каркасам глубокой адаптации [RHS17].</w:t>
      </w:r>
    </w:p>
    <w:p w14:paraId="68A7DB96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Приложения в НЛП</w:t>
      </w:r>
    </w:p>
    <w:p w14:paraId="0A9FFB1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Glorot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в самые ранние дни глубокого обучения показали, как составные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автокодеры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 разреженными выпрямительными блоками могут изучать представления на уровне функций, которые могут очень эффективно выполнять адаптацию предметной области при анализе тональности [GBB11c].</w:t>
      </w:r>
    </w:p>
    <w:p w14:paraId="36703C8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Нгуен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Гришман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используют встраивание слов вместе с функциями кластеризации слов, чтобы показать, что адаптация домена при извлечении отношений может быть очень эффективной [NG14].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Nguyen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более подробно изучить использование вложений слов и ядер дерева для генерации семантического представления для извлечения отношений и улучшений по сравнению с методами, основанными на признаках [NPG15]. Нгуен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Гришман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показывают, как CNN с встраиванием слов, встраиванием позиций и встраиванием типов сущностей в качестве входных данных могут изучить эффективное представление, которое дает хороший метод адаптации предметной области для обнаружения событий [NG15a].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Fu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показать эффективность доменной адаптации для извлечения отношений с использованием доменно-состязательных нейронных сетей (DANN)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Fu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+ 17].</w:t>
      </w:r>
    </w:p>
    <w:p w14:paraId="0ACFEAF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Они используют встраивание слов, встраивание позиций, встраивание типов сущностей, встраивание фрагментов и встраивание путей зависимостей. Они используют CNN и DANN со слоем инверсии градиента, чтобы эффективно изучить извлечение отношений с помощью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междоменных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функций.</w:t>
      </w:r>
    </w:p>
    <w:p w14:paraId="6575648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Чжоу и др. использовать новые глубокие нейронные сети с двойной передачей для передачи исходных примеров в цель и наоборот для достижения результатов, близких к современным в классификации тональности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Zho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+ 16].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lastRenderedPageBreak/>
        <w:t>Zhang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использовать сопоставление ключевых слов с источником и целью и использовать его в состязательном обучении для домена адаптация в классификации [ZBJ17].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Зисер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Райхарт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показывают, как сводные функции (общие функции, присутствующие в исходном и целевом) вместе с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автоэнкодерами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могут изучать представление, которое очень эффективно при адаптации предметной области для классификации тональности [ZR17].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Зайзер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Райхарт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расширяют исследование до основанного на сводных данных языковая модель с учетом структуры, которая может использоваться для различных задач классификации и последовательностей для улучшения результатов [ZR18]. Ю 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Зианг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комбинируют идеи структурного заочного обучения, функций на основе вращений и обучения с помощью совместных задач для эффективной адаптации предметной области при классификации настроений [YJ16].</w:t>
      </w:r>
    </w:p>
    <w:p w14:paraId="639ECA10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Приложения в распознавании речи</w:t>
      </w:r>
    </w:p>
    <w:p w14:paraId="5DBAB00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Falavigna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показать, как глубокие нейронные сети и автоматическая оценка качества (QE) могут быть использованы для адаптации домена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Fal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+ 17]. Они используют двухэтапный процесс, в котором первые вручную помеченные транскрипты используются для оценки WER по данным для разного качества. Затем выполняется адаптация невидимых данных в соответствии с оценками WER компонентом QE, чтобы показать значительные улучшения в производительности.</w:t>
      </w:r>
    </w:p>
    <w:p w14:paraId="5E003C8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Hosseini-Asl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расширить концепцию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CycleGAN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чтобы иметь несколько дискриминаторов (MD-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CycleGAN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для неконтролируемой непараллельной адаптации речевой области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Hos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+ 18]. Они используют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CycleGAN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 несколькими дискриминаторами для изучения частотных вариаций спектрограмм между доменами. Они используют различную гендерную речь ASR в обучении и тестировании, чтобы оценить аспект адаптации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предметной области и сообщать о хорошей производительности с помощью архитектуры MD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CycleGAN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на невидимых доменах.</w:t>
      </w:r>
    </w:p>
    <w:p w14:paraId="4A1E2F0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Адаптация к разным говорящим с разными акцентами - одна из открытых исследовательских проблем в области распознавания речи.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Wang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в своей работе проводят подробный анализ, рассматривая это как проблему адаптации предметной области с различными фреймворками, чтобы дать важные выводы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Wan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+ 18a]. Они используют три разных метода адаптации динамика, такие как линейное преобразование (LIN), изучение вклада скрытых единиц (LHUC) и расхождение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Кульбака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Лейблера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(KLD) на акустической модели DNN на основе i-вектора. Они показывают, что на основе акцентов с использованием одного из методов производительность ASR может быть значительно улучшена не только для средних и тяжелых акцентов, но и для легкого акцента.</w:t>
      </w:r>
    </w:p>
    <w:p w14:paraId="02FE02C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 xml:space="preserve">Производительность ASR может быть значительно улучшена не только для средних и сильных акцентов, но и для динамиков с небольшим акцентом. Sun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использовать предметно-состязательный тренинг для решения акцентированной речи в ASR [Sun + 18a]. Использование состязательного обучения предметной области в цели обучении из немаркированного целевого домена с разными акцентами для разделения исходного и целевого домена при использовании помеченного исходного домена для классификации, они показывают значительное снижение количества ошибок для невидимых акцентов.</w:t>
      </w:r>
    </w:p>
    <w:p w14:paraId="65BDFFE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К повышению качества ASR при наличии шума за счет повышения устойчивости моделей также можно подойти из представления адаптации домена на основе того, как шум в целевом домене или невидимых данных отличается от исходных доменов. Сердюк и др. использовать GAN для адаптации домена в невидимых зашумленных целевых наборах данных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Ser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+ 16]. Модель имеет кодировщик, декодер и распознаватель со скрытым представлением между ними, которое используется для выполнения двойных задач по улучшению распознавания и минимизации различения доменов. Они показывают, что их метод лучше подходит для обобщения, когда в целевой области больше категорий шума, чем в исходных обучающих данных. Sun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использовать состязательное увеличение данных с помощью метода быстрого градиента знака (FSGM), чтобы показать значительные улучшения в надежности акустических моделей [Sun + 18b].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Meng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использовать сети разделения доменов (DSN) для адаптации доменов между источником и целями для обеспечения устойчивости к целевым данным с разными уровнями шума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+ 17]. Общие компоненты изучают неизменность домена между исходным и целевым доменами. Частные компоненты ортогональны разделяемым и учатся увеличивать доменную инвариантность. Они показывают значительное снижение WER по сравнению с базовой линией с помощью неадаптированной акустической модели с их подходом.</w:t>
      </w:r>
    </w:p>
    <w:p w14:paraId="450E6EA6" w14:textId="77777777" w:rsidR="000D6ECB" w:rsidRPr="00812417" w:rsidRDefault="000D6ECB" w:rsidP="00812417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Обучение с нулевым, однократным и малым выстрелом</w:t>
      </w:r>
    </w:p>
    <w:p w14:paraId="55B7B63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Крайности проблемы адаптации предметной области или трансферного обучения возникают, когда существует ограниченное количество обучающих примеров, соответствующих тесту. Лучшим примером является проблема распознавания лиц из компьютерного зрения, где есть ровно 1 обучающий пример для каждого человека, и когда кто-то появляется, необходимо сопоставить существующий или классифицировать его как новый невидимый. Основываясь на ряде обучающих примеров, соответствующих невидимому примеру, который мы получаем во время прогнозирования, есть разные варианты, такие как обучение с нулевым выстрелом, обучение с одного кадра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>и обучение с несколькими выстрелами. В следующих разделах мы обсудим каждый из них и методы, которые были популярны для их решения.</w:t>
      </w:r>
    </w:p>
    <w:p w14:paraId="03D622A4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Обучение с нулевым выстрелом</w:t>
      </w:r>
    </w:p>
    <w:p w14:paraId="48FBAC1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Обучение с нулевым выстрелом - это форма трансферного обучения, при которой у нас нет абсолютно никаких обучающих данных для классов, которые мы увидим в тестовом наборе, или, когда модель используется для прогнозов. Идея состоит в том, чтобы изучить сопоставление классов с вектором таким образом, чтобы невидимый класс в будущем мог быть сопоставлен с тем же пространством, а «близость» к существующим классам могла использоваться для предоставления некоторой информации о невидимом класс. Примером из домена NLU может быть ситуация, когда данные о компьютерах доступны, а базы знаний (KB) существуют вопрос о том, что для получения информации о них и «какова стоимость конкретной детали для такой функции, как дисплей», может быть сформирован как запрос к базе знаний, имеющей базу данных компонентов, подкомпонентов, функций и частей. Изучение этого сопоставления можно использовать для переноса его в совершенно другой домен. Например, это можно использовать в автомобилестроении по аналогичным запросам, если обычно используется стоимость деталей для выполнения определенных функций.</w:t>
      </w:r>
    </w:p>
    <w:p w14:paraId="7A04F4BE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Методы</w:t>
      </w:r>
    </w:p>
    <w:p w14:paraId="2B2E24C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Мы проиллюстрируем общий метод и варианты, которые оказались успешными в задачах компьютерного зрения и понимания / распознавания речи / языка [XSA17].</w:t>
      </w:r>
    </w:p>
    <w:p w14:paraId="24465EA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Подход заключается в измерении сходства между исходным и целевым доменами. В компьютерном зрении, например, одним из способов является отображение пространства меток в векторное пространство на основе дополнительной информации, такой как атрибуты, фиксирующие изображение. Атрибуты могут быть мета-уровнями или характеристиками уровня изображения, такими как «наличие определенного цвета», «размер объекта» и другие. Векторное представление может быть одним из горячих векторов этих атрибуты. Объекты исходных данных встраиваются в пространство исходных объектов. Следующим шагом является поиск совместимости между пространством исходных функций, как показано на рис. 11.12, с помощью функции совместимости.</w:t>
      </w:r>
    </w:p>
    <w:p w14:paraId="3AAB185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045CBB" wp14:editId="2E66573D">
            <wp:extent cx="6047740" cy="25622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2C23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11.12:</w:t>
      </w:r>
      <w:r w:rsidRPr="00812417">
        <w:rPr>
          <w:rFonts w:ascii="Times New Roman" w:hAnsi="Times New Roman" w:cs="Times New Roman"/>
          <w:sz w:val="28"/>
          <w:szCs w:val="28"/>
        </w:rPr>
        <w:t xml:space="preserve"> Обучение с нулевым выстрелом</w:t>
      </w:r>
    </w:p>
    <w:p w14:paraId="4071795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Формально исходный набор данных S = {(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), n = 1, ... N} с входными данными и метками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X,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Cambria Math" w:hAnsi="Cambria Math" w:cs="Cambria Math"/>
          <w:sz w:val="28"/>
          <w:szCs w:val="28"/>
        </w:rPr>
        <w:t>∈</w:t>
      </w:r>
      <w:r w:rsidRPr="00812417">
        <w:rPr>
          <w:rFonts w:ascii="Times New Roman" w:hAnsi="Times New Roman" w:cs="Times New Roman"/>
          <w:sz w:val="28"/>
          <w:szCs w:val="28"/>
        </w:rPr>
        <w:t xml:space="preserve"> Y соответственно. Цель состоит в том, чтобы изучить функцию f (x), которая минимизирует потери при прогнозировании метки y и может быть записана с использованием минимизации эмпирического риска в форме:</w:t>
      </w:r>
    </w:p>
    <w:p w14:paraId="5C480140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1/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N∑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 1</w:t>
      </w:r>
      <w:r w:rsidRPr="00812417">
        <w:rPr>
          <w:rFonts w:ascii="Times New Roman" w:hAnsi="Times New Roman" w:cs="Times New Roman"/>
          <w:sz w:val="28"/>
          <w:szCs w:val="28"/>
        </w:rPr>
        <w:t>L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f (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))                                           (11.64)</w:t>
      </w:r>
    </w:p>
    <w:p w14:paraId="5164D28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где L - функция измерения потерь. Для классификации это может быть 0 при сопоставлении и 1 при отсутствии сопоставления. Пусть θ - функция встраивания источника, которая преобразует входные данные в свое пространство признаков, то есть θ: X → X˜. Аналогично, пусть ϕ: Y → Y˜ - функция встраивания меток, которая преобразует метки в пространство с помощью атрибутов.</w:t>
      </w:r>
    </w:p>
    <w:p w14:paraId="23ECB26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Функция совместимости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: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 xml:space="preserve"> ×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 → и функция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определены в терминах параметров модели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>, то есть того, насколько пара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) совместима с заданным параметром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:</w:t>
      </w:r>
    </w:p>
    <w:p w14:paraId="4A84BF7B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f (x; w) =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argmax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Cambria Math" w:hAnsi="Cambria Math" w:cs="Cambria Math"/>
          <w:sz w:val="28"/>
          <w:szCs w:val="28"/>
          <w:vertAlign w:val="subscript"/>
          <w:lang w:val="en-US"/>
        </w:rPr>
        <w:t>∈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(x, y; w)                            (11.65)</w:t>
      </w:r>
    </w:p>
    <w:p w14:paraId="61B2B603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Существуют различные формы функций совместимости, которые упомянуты ниже:</w:t>
      </w:r>
    </w:p>
    <w:p w14:paraId="1FFD734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1. Парное ранжирование: популярный метод, который использует выпуклую цель, попарное ранжирование и обновления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SGD</w:t>
      </w:r>
      <w:r w:rsidRPr="00812417">
        <w:rPr>
          <w:rFonts w:ascii="Times New Roman" w:hAnsi="Times New Roman" w:cs="Times New Roman"/>
          <w:sz w:val="28"/>
          <w:szCs w:val="28"/>
        </w:rPr>
        <w:t>, определяется следующим образом:</w:t>
      </w:r>
    </w:p>
    <w:p w14:paraId="593B0FC7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∑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∈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Ytrain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Δ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) +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) −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)]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+</w:t>
      </w:r>
      <w:r w:rsidRPr="00812417">
        <w:rPr>
          <w:rFonts w:ascii="Times New Roman" w:hAnsi="Times New Roman" w:cs="Times New Roman"/>
          <w:sz w:val="28"/>
          <w:szCs w:val="28"/>
        </w:rPr>
        <w:t xml:space="preserve"> (11.66)</w:t>
      </w:r>
    </w:p>
    <w:p w14:paraId="49D9219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где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Δ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потери 0/1, а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функция линейной совместимости.</w:t>
      </w:r>
    </w:p>
    <w:p w14:paraId="29EB08C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>2. Взвешенное попарное ранжирование: расширение вышеперечисленного, которое добавляет веса следующим образом:</w:t>
      </w:r>
    </w:p>
    <w:p w14:paraId="38BBBEF6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∑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∈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Ytrain</w:t>
      </w:r>
      <w:proofErr w:type="spellEnd"/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Δ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) +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) −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)]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+</w:t>
      </w:r>
      <w:r w:rsidRPr="00812417">
        <w:rPr>
          <w:rFonts w:ascii="Times New Roman" w:hAnsi="Times New Roman" w:cs="Times New Roman"/>
          <w:sz w:val="28"/>
          <w:szCs w:val="28"/>
        </w:rPr>
        <w:t xml:space="preserve"> (11.67)</w:t>
      </w:r>
    </w:p>
    <w:p w14:paraId="1599BDF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∑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 xml:space="preserve"> =1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α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α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= 1/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количество рангов.</w:t>
      </w:r>
    </w:p>
    <w:p w14:paraId="46192AA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3. Структурированное совместное встраивание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SJE</w:t>
      </w:r>
      <w:r w:rsidRPr="00812417">
        <w:rPr>
          <w:rFonts w:ascii="Times New Roman" w:hAnsi="Times New Roman" w:cs="Times New Roman"/>
          <w:sz w:val="28"/>
          <w:szCs w:val="28"/>
        </w:rPr>
        <w:t xml:space="preserve">): Другой попарный рейтинг, но для сценария с несколькими классами, где для поиска наиболее нарушающего класса используется функция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812417">
        <w:rPr>
          <w:rFonts w:ascii="Times New Roman" w:hAnsi="Times New Roman" w:cs="Times New Roman"/>
          <w:sz w:val="28"/>
          <w:szCs w:val="28"/>
        </w:rPr>
        <w:t>, определяется следующим образом:</w:t>
      </w:r>
    </w:p>
    <w:p w14:paraId="4E855F65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812417">
        <w:rPr>
          <w:rFonts w:ascii="Times New Roman" w:hAnsi="Times New Roman" w:cs="Times New Roman"/>
          <w:sz w:val="28"/>
          <w:szCs w:val="28"/>
        </w:rPr>
        <w:t>∑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∈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Ytrain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Δ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) +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) −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;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)]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+</w:t>
      </w:r>
      <w:r w:rsidRPr="00812417">
        <w:rPr>
          <w:rFonts w:ascii="Times New Roman" w:hAnsi="Times New Roman" w:cs="Times New Roman"/>
          <w:sz w:val="28"/>
          <w:szCs w:val="28"/>
        </w:rPr>
        <w:t xml:space="preserve"> (11.68)</w:t>
      </w:r>
    </w:p>
    <w:p w14:paraId="6DA977A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Смущающе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простое обучение с нулевым выстрелом: расширение вышеупомянутого метода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SJE</w:t>
      </w:r>
      <w:r w:rsidRPr="00812417">
        <w:rPr>
          <w:rFonts w:ascii="Times New Roman" w:hAnsi="Times New Roman" w:cs="Times New Roman"/>
          <w:sz w:val="28"/>
          <w:szCs w:val="28"/>
        </w:rPr>
        <w:t>, где добавлен термин регуляризации:</w:t>
      </w:r>
    </w:p>
    <w:p w14:paraId="196083A9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812417">
        <w:rPr>
          <w:rFonts w:ascii="Times New Roman" w:hAnsi="Times New Roman" w:cs="Times New Roman"/>
          <w:sz w:val="28"/>
          <w:szCs w:val="28"/>
        </w:rPr>
        <w:t xml:space="preserve"> ||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Wφ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>)||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+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λ</w:t>
      </w:r>
      <w:r w:rsidRPr="00812417">
        <w:rPr>
          <w:rFonts w:ascii="Times New Roman" w:hAnsi="Times New Roman" w:cs="Times New Roman"/>
          <w:sz w:val="28"/>
          <w:szCs w:val="28"/>
        </w:rPr>
        <w:t xml:space="preserve"> ||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θ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>)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+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12417">
        <w:rPr>
          <w:rFonts w:ascii="Times New Roman" w:hAnsi="Times New Roman" w:cs="Times New Roman"/>
          <w:sz w:val="28"/>
          <w:szCs w:val="28"/>
        </w:rPr>
        <w:t xml:space="preserve"> ||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                       (11.69)</w:t>
      </w:r>
    </w:p>
    <w:p w14:paraId="26A7A83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где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λ</w:t>
      </w:r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параметры регуляризации.</w:t>
      </w:r>
    </w:p>
    <w:p w14:paraId="08ECF3D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5. Семантический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автоэнкодер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: Другой метод, использующий линейный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автоэнкодер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для проецирования из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θ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 xml:space="preserve">) в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ϕ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>) пространство:</w:t>
      </w:r>
    </w:p>
    <w:p w14:paraId="055338E1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W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||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θ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>) −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ϕ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>)||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+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λ</w:t>
      </w:r>
      <w:r w:rsidRPr="00812417">
        <w:rPr>
          <w:rFonts w:ascii="Times New Roman" w:hAnsi="Times New Roman" w:cs="Times New Roman"/>
          <w:sz w:val="28"/>
          <w:szCs w:val="28"/>
        </w:rPr>
        <w:t>||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Wθ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>) −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ϕ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>)||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        (11.70)</w:t>
      </w:r>
    </w:p>
    <w:p w14:paraId="64B9C4E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6. Скрытые вложения: Чтобы преодолеть ограничения линейных весов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</w:rPr>
        <w:t>, в функцию совместимости вносится кусочно-линейная модификация для достижения нелинейности, определяемой следующим образом:</w:t>
      </w:r>
    </w:p>
    <w:p w14:paraId="45C503AE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F (x, y; W) = θ (x)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ϕ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(y)                                     (11.71)</w:t>
      </w:r>
    </w:p>
    <w:p w14:paraId="322AF18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где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различные изученные линейные веса.</w:t>
      </w:r>
    </w:p>
    <w:p w14:paraId="3481385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Межмодельный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перенос. Другой нелинейный метод - выполнение нелинейного преобразования с использованием двухуровневых нейронных сетей с весами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целевой функцией:</w:t>
      </w:r>
    </w:p>
    <w:p w14:paraId="5C5B2916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∑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∈</w:t>
      </w:r>
      <w:proofErr w:type="spellStart"/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Ytrain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∑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812417">
        <w:rPr>
          <w:rFonts w:ascii="Cambria Math" w:hAnsi="Cambria Math" w:cs="Cambria Math"/>
          <w:sz w:val="28"/>
          <w:szCs w:val="28"/>
          <w:vertAlign w:val="subscript"/>
        </w:rPr>
        <w:t>∈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 xml:space="preserve"> ||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ϕ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12417">
        <w:rPr>
          <w:rFonts w:ascii="Times New Roman" w:hAnsi="Times New Roman" w:cs="Times New Roman"/>
          <w:sz w:val="28"/>
          <w:szCs w:val="28"/>
        </w:rPr>
        <w:t>) −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tanh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θ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>)))               (11.72)</w:t>
      </w:r>
    </w:p>
    <w:p w14:paraId="304415C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8. Прямое предсказание атрибутов: в другом методе используются атрибуты, связанные с классом, который необходимо изучить напрямую, задаваемые:</w:t>
      </w:r>
    </w:p>
    <w:p w14:paraId="3F040C2B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 xml:space="preserve">) =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argmax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∏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=1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|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 xml:space="preserve">)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                 (11.73)</w:t>
      </w:r>
    </w:p>
    <w:p w14:paraId="1953B32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где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общее количество атрибутов,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это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12417">
        <w:rPr>
          <w:rFonts w:ascii="Times New Roman" w:hAnsi="Times New Roman" w:cs="Times New Roman"/>
          <w:sz w:val="28"/>
          <w:szCs w:val="28"/>
        </w:rPr>
        <w:t xml:space="preserve">-й атрибут класса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12417">
        <w:rPr>
          <w:rFonts w:ascii="Times New Roman" w:hAnsi="Times New Roman" w:cs="Times New Roman"/>
          <w:sz w:val="28"/>
          <w:szCs w:val="28"/>
        </w:rPr>
        <w:t xml:space="preserve">, а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124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|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 xml:space="preserve">) - это вероятность атрибута, связанная с заданными данными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</w:rPr>
        <w:t>.</w:t>
      </w:r>
    </w:p>
    <w:p w14:paraId="3B0C975D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Однократное обучение</w:t>
      </w:r>
    </w:p>
    <w:p w14:paraId="6D17AD7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Общая проблема при однократном обучении состоит в том, чтобы изучить набор данных, в котором есть один пример для класса. Такая же общая форма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>используется для функции подобия в представлении между обучающими примерами, так что во время прогнозирования функция подобия используется для поиска ближайшего доступного примера в обучающих данных.</w:t>
      </w:r>
    </w:p>
    <w:p w14:paraId="40669089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Методы</w:t>
      </w:r>
    </w:p>
    <w:p w14:paraId="39C3BD9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Сиамские сетевые архитектуры с вариациями, как правило, являются обычным способом изучения сходства в этих структурах. Параметры сети изучаются путем попарного обучения из набора обучающих данных, как показано на рис. 11.13. Один из вариантов состоит в том, что вместо полностью связанных слоев, идущих на слой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softmax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для сходства могут использоваться функции или кодирование входных данных; полученные в результате сети называются совпадающими сетями. Один из способов изучения параметров сети - это во время обучения минимизировать разницу, когда входные данные схожи, и максимизировать, когда они не похожи, в то время как во время прогнозирования использовать изученное представление для вычисления сходства с существующими обучающими выборками. Если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- это два примера из обучающих данных, функция подобия может быть разницей между двумя прогнозами в сиамских сетях, заданными следующим образом:</w:t>
      </w:r>
    </w:p>
    <w:p w14:paraId="254D6AA7" w14:textId="77777777" w:rsidR="000D6ECB" w:rsidRPr="00812417" w:rsidRDefault="000D6ECB" w:rsidP="00812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 = ||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12417">
        <w:rPr>
          <w:rFonts w:ascii="Times New Roman" w:hAnsi="Times New Roman" w:cs="Times New Roman"/>
          <w:sz w:val="28"/>
          <w:szCs w:val="28"/>
        </w:rPr>
        <w:t xml:space="preserve">) -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                                    (11.74)</w:t>
      </w:r>
    </w:p>
    <w:p w14:paraId="26015AD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Другой способ узнать параметры - использовать функцию потерь триплетов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Schroff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812417">
        <w:rPr>
          <w:rFonts w:ascii="Times New Roman" w:hAnsi="Times New Roman" w:cs="Times New Roman"/>
          <w:sz w:val="28"/>
          <w:szCs w:val="28"/>
        </w:rPr>
        <w:t>.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FSP</w:t>
      </w:r>
      <w:r w:rsidRPr="00812417">
        <w:rPr>
          <w:rFonts w:ascii="Times New Roman" w:hAnsi="Times New Roman" w:cs="Times New Roman"/>
          <w:sz w:val="28"/>
          <w:szCs w:val="28"/>
        </w:rPr>
        <w:t xml:space="preserve">15]. Идея состоит в том, чтобы выбрать данные привязки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для которых положительный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отрицательный образец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используются для изучения параметров сети, чтобы разница между данными привязки и положительными данными была максимальной, а разница между данными привязки и отрицательной сводится к минимуму:</w:t>
      </w:r>
    </w:p>
    <w:p w14:paraId="1D07B418" w14:textId="77777777" w:rsidR="000D6ECB" w:rsidRPr="00812417" w:rsidRDefault="000D6ECB" w:rsidP="00812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=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812417">
        <w:rPr>
          <w:rFonts w:ascii="Times New Roman" w:hAnsi="Times New Roman" w:cs="Times New Roman"/>
          <w:sz w:val="28"/>
          <w:szCs w:val="28"/>
        </w:rPr>
        <w:t xml:space="preserve"> (||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-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4B94AE19" w14:textId="77777777" w:rsidR="000D6ECB" w:rsidRPr="00812417" w:rsidRDefault="000D6ECB" w:rsidP="0081241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</w:rPr>
        <w:t>||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) -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4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241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)||</w:t>
      </w:r>
      <w:r w:rsidRPr="008124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124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12417">
        <w:rPr>
          <w:rFonts w:ascii="Times New Roman" w:hAnsi="Times New Roman" w:cs="Times New Roman"/>
          <w:sz w:val="28"/>
          <w:szCs w:val="28"/>
        </w:rPr>
        <w:t xml:space="preserve"> +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12417">
        <w:rPr>
          <w:rFonts w:ascii="Times New Roman" w:hAnsi="Times New Roman" w:cs="Times New Roman"/>
          <w:sz w:val="28"/>
          <w:szCs w:val="28"/>
        </w:rPr>
        <w:t xml:space="preserve">, 0)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</w:t>
      </w:r>
      <w:r w:rsidRPr="00812417">
        <w:rPr>
          <w:rFonts w:ascii="Times New Roman" w:hAnsi="Times New Roman" w:cs="Times New Roman"/>
          <w:sz w:val="28"/>
          <w:szCs w:val="28"/>
        </w:rPr>
        <w:t>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11.75)</w:t>
      </w:r>
    </w:p>
    <w:p w14:paraId="21E7C37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342393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2D88D1" wp14:editId="18E6829C">
            <wp:extent cx="5745480" cy="3599180"/>
            <wp:effectExtent l="0" t="0" r="762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8F6E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 xml:space="preserve">Рис. 11.13: </w:t>
      </w:r>
      <w:r w:rsidRPr="00812417">
        <w:rPr>
          <w:rFonts w:ascii="Times New Roman" w:hAnsi="Times New Roman" w:cs="Times New Roman"/>
          <w:sz w:val="28"/>
          <w:szCs w:val="28"/>
        </w:rPr>
        <w:t>Однократное обучение</w:t>
      </w:r>
    </w:p>
    <w:p w14:paraId="3D44B73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В формуле. 11.75 параметр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12417">
        <w:rPr>
          <w:rFonts w:ascii="Times New Roman" w:hAnsi="Times New Roman" w:cs="Times New Roman"/>
          <w:sz w:val="28"/>
          <w:szCs w:val="28"/>
        </w:rPr>
        <w:t xml:space="preserve"> аналогичен запасу в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SVM</w:t>
      </w:r>
      <w:r w:rsidRPr="00812417">
        <w:rPr>
          <w:rFonts w:ascii="Times New Roman" w:hAnsi="Times New Roman" w:cs="Times New Roman"/>
          <w:sz w:val="28"/>
          <w:szCs w:val="28"/>
        </w:rPr>
        <w:t>. Обучающие данные используются для генерации триплетов, а метод стохастического градиента может использоваться для изучения параметров с этой функцией потерь.</w:t>
      </w:r>
    </w:p>
    <w:p w14:paraId="103479EB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Быстрое обучение</w:t>
      </w:r>
    </w:p>
    <w:p w14:paraId="4835D8C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Быстрое обучение - относительно более легкая форма обучения по сравнению с двумя предыдущими. В общем, большинство методов, упомянутых в однократном обучении, можно использовать и для обучения с несколькими выстрелами, но мы проиллюстрируем несколько дополнительных приемов, которые оказались успешными.</w:t>
      </w:r>
    </w:p>
    <w:p w14:paraId="54CB25A9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Методы</w:t>
      </w:r>
    </w:p>
    <w:p w14:paraId="1070A18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Методы глубокого обучения для быстрого обучения можно описать как подходы на основе данных или подходы на основе моделей. В подходе, основанном на данных, некоторая форма увеличения обучающих данных в различных формах - это общий процесс, используемый для увеличения количества похожих выборок.</w:t>
      </w:r>
    </w:p>
    <w:p w14:paraId="4BF1AFC7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Напротив, подход, основанный на модели или параметрах, обеспечивает регуляризацию в той или иной форме, чтобы предотвратить переобучение модели из ограниченных обучающих выборок.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Донхён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др. использовали интересную идею корреляции активаций из вводимых данных для формирования «групп» похожих нейронов или параметров на слой в исходных данных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Yoo</w:t>
      </w:r>
      <w:r w:rsidRPr="00812417">
        <w:rPr>
          <w:rFonts w:ascii="Times New Roman" w:hAnsi="Times New Roman" w:cs="Times New Roman"/>
          <w:sz w:val="28"/>
          <w:szCs w:val="28"/>
        </w:rPr>
        <w:t xml:space="preserve"> + 18].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Гиперпараметр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«количество групп» для каждого слоя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 xml:space="preserve">выбирается с использованием алгоритма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812417">
        <w:rPr>
          <w:rFonts w:ascii="Times New Roman" w:hAnsi="Times New Roman" w:cs="Times New Roman"/>
          <w:sz w:val="28"/>
          <w:szCs w:val="28"/>
        </w:rPr>
        <w:t xml:space="preserve"> - кластеризации, где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812417">
        <w:rPr>
          <w:rFonts w:ascii="Times New Roman" w:hAnsi="Times New Roman" w:cs="Times New Roman"/>
          <w:sz w:val="28"/>
          <w:szCs w:val="28"/>
        </w:rPr>
        <w:t xml:space="preserve"> дополнительно изучается с помощью методов усиления.</w:t>
      </w:r>
    </w:p>
    <w:p w14:paraId="11F1492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После обучения на исходном наборе данных эти группы нейронов настраиваются на целевой домен с помощью группового обратного распространения. По мере увеличения количества параметров с небольшими обучающими данными для каждой категории алгоритмы оптимизации, такие как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SGD</w:t>
      </w:r>
      <w:r w:rsidRPr="00812417">
        <w:rPr>
          <w:rFonts w:ascii="Times New Roman" w:hAnsi="Times New Roman" w:cs="Times New Roman"/>
          <w:sz w:val="28"/>
          <w:szCs w:val="28"/>
        </w:rPr>
        <w:t xml:space="preserve">, неэффективны.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Mengye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812417">
        <w:rPr>
          <w:rFonts w:ascii="Times New Roman" w:hAnsi="Times New Roman" w:cs="Times New Roman"/>
          <w:sz w:val="28"/>
          <w:szCs w:val="28"/>
        </w:rPr>
        <w:t xml:space="preserve">. предложили метод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метаобучения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для решения этой проблемы в два этапа: (а) модель учителя учится на большом количестве данных, чтобы захватить пространство параметров, и (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12417">
        <w:rPr>
          <w:rFonts w:ascii="Times New Roman" w:hAnsi="Times New Roman" w:cs="Times New Roman"/>
          <w:sz w:val="28"/>
          <w:szCs w:val="28"/>
        </w:rPr>
        <w:t>) затем направить фактического ученика или классификатора к обучению с использованием многообразия параметров, что дает отличные результаты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Ren</w:t>
      </w:r>
      <w:r w:rsidRPr="00812417">
        <w:rPr>
          <w:rFonts w:ascii="Times New Roman" w:hAnsi="Times New Roman" w:cs="Times New Roman"/>
          <w:sz w:val="28"/>
          <w:szCs w:val="28"/>
        </w:rPr>
        <w:t xml:space="preserve"> + 18].</w:t>
      </w:r>
    </w:p>
    <w:p w14:paraId="7090FBB1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Теория</w:t>
      </w:r>
    </w:p>
    <w:p w14:paraId="0514A5E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Palatucci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812417">
        <w:rPr>
          <w:rFonts w:ascii="Times New Roman" w:hAnsi="Times New Roman" w:cs="Times New Roman"/>
          <w:sz w:val="28"/>
          <w:szCs w:val="28"/>
        </w:rPr>
        <w:t>. представить классификатор отображения семантического выходного кода в качестве теоретической основы и формализации для обучения с нулевым выстрелом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Pal</w:t>
      </w:r>
      <w:r w:rsidRPr="00812417">
        <w:rPr>
          <w:rFonts w:ascii="Times New Roman" w:hAnsi="Times New Roman" w:cs="Times New Roman"/>
          <w:sz w:val="28"/>
          <w:szCs w:val="28"/>
        </w:rPr>
        <w:t xml:space="preserve"> + 09]. Сопоставление классификатора помогает понять, как сопоставляются база знаний и семантические особенности выходных данных, и как может происходить обучение, даже если новые классы отсутствуют из данных обучения с использованием структуры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PAC</w:t>
      </w:r>
      <w:r w:rsidRPr="00812417">
        <w:rPr>
          <w:rFonts w:ascii="Times New Roman" w:hAnsi="Times New Roman" w:cs="Times New Roman"/>
          <w:sz w:val="28"/>
          <w:szCs w:val="28"/>
        </w:rPr>
        <w:t>.</w:t>
      </w:r>
    </w:p>
    <w:p w14:paraId="042E028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Fei</w:t>
      </w:r>
      <w:r w:rsidRPr="00812417">
        <w:rPr>
          <w:rFonts w:ascii="Times New Roman" w:hAnsi="Times New Roman" w:cs="Times New Roman"/>
          <w:sz w:val="28"/>
          <w:szCs w:val="28"/>
        </w:rPr>
        <w:t>-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Fei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Li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812417">
        <w:rPr>
          <w:rFonts w:ascii="Times New Roman" w:hAnsi="Times New Roman" w:cs="Times New Roman"/>
          <w:sz w:val="28"/>
          <w:szCs w:val="28"/>
        </w:rPr>
        <w:t>. предложили байесовскую основу для теоретической основы однократного обучения в области идентификации объектов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FFFP</w:t>
      </w:r>
      <w:r w:rsidRPr="00812417">
        <w:rPr>
          <w:rFonts w:ascii="Times New Roman" w:hAnsi="Times New Roman" w:cs="Times New Roman"/>
          <w:sz w:val="28"/>
          <w:szCs w:val="28"/>
        </w:rPr>
        <w:t>06]. Моделируя предварительные знания данных как функцию плотности вероятности для параметров с этими моделями, апостериорными являются категории объектов, байесовская структура показывает, как модели несут информацию даже с очень небольшим количеством примеров в обучении для правильного определения категорий.</w:t>
      </w:r>
    </w:p>
    <w:p w14:paraId="742322C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Triantafillou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812417">
        <w:rPr>
          <w:rFonts w:ascii="Times New Roman" w:hAnsi="Times New Roman" w:cs="Times New Roman"/>
          <w:sz w:val="28"/>
          <w:szCs w:val="28"/>
        </w:rPr>
        <w:t>. предложили структуру поиска информации и реализацию для моделирования обучения за несколько шагов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TZU</w:t>
      </w:r>
      <w:r w:rsidRPr="00812417">
        <w:rPr>
          <w:rFonts w:ascii="Times New Roman" w:hAnsi="Times New Roman" w:cs="Times New Roman"/>
          <w:sz w:val="28"/>
          <w:szCs w:val="28"/>
        </w:rPr>
        <w:t>17]. В этой статье предлагается изучить метрику подобия для отображения объектов в пространстве, где они группируются на основе их отношения подобия. Цель обучения оптимизирует относительный порядок точек данных в каждом обучающем пакете, чтобы усилить важность в режиме с низким объемом данных.</w:t>
      </w:r>
    </w:p>
    <w:p w14:paraId="02F9CED7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Приложения в НЛП и распознавании речи</w:t>
      </w:r>
    </w:p>
    <w:p w14:paraId="4480B78A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Большинство применений </w:t>
      </w:r>
      <w:r w:rsidRPr="00812417">
        <w:rPr>
          <w:rFonts w:ascii="Times New Roman" w:hAnsi="Times New Roman" w:cs="Times New Roman"/>
          <w:i/>
          <w:sz w:val="28"/>
          <w:szCs w:val="28"/>
        </w:rPr>
        <w:t>обучения с нулевым, однократным и малым выстрелом</w:t>
      </w:r>
      <w:r w:rsidRPr="00812417">
        <w:rPr>
          <w:rFonts w:ascii="Times New Roman" w:hAnsi="Times New Roman" w:cs="Times New Roman"/>
          <w:sz w:val="28"/>
          <w:szCs w:val="28"/>
        </w:rPr>
        <w:t xml:space="preserve"> находилось в компьютерном зрении. Лишь недавно появились приложения в НЛП и речи.</w:t>
      </w:r>
    </w:p>
    <w:p w14:paraId="190E1423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lastRenderedPageBreak/>
        <w:t>Pushp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Srivastav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используют беспроблемное обучение при классификации для категоризации текста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PS</w:t>
      </w:r>
      <w:r w:rsidRPr="00812417">
        <w:rPr>
          <w:rFonts w:ascii="Times New Roman" w:hAnsi="Times New Roman" w:cs="Times New Roman"/>
          <w:sz w:val="28"/>
          <w:szCs w:val="28"/>
        </w:rPr>
        <w:t xml:space="preserve">17]. Исходный набор данных - это заголовки новостей, полученные из Интернета, а категории - это поисковая система. Целевыми данными тестирования являются новости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UCI</w:t>
      </w:r>
      <w:r w:rsidRPr="00812417">
        <w:rPr>
          <w:rFonts w:ascii="Times New Roman" w:hAnsi="Times New Roman" w:cs="Times New Roman"/>
          <w:sz w:val="28"/>
          <w:szCs w:val="28"/>
        </w:rPr>
        <w:t xml:space="preserve"> и набор данных категоризации твитов. Они используют разные нейронные архитектуры в зависимости от того, как и что подавать в сети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LSTM</w:t>
      </w:r>
      <w:r w:rsidRPr="00812417">
        <w:rPr>
          <w:rFonts w:ascii="Times New Roman" w:hAnsi="Times New Roman" w:cs="Times New Roman"/>
          <w:sz w:val="28"/>
          <w:szCs w:val="28"/>
        </w:rPr>
        <w:t xml:space="preserve">. Затем обученная модель применяется к набору данных, который ранее не видел взаимосвязей (новости и твиты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UCI</w:t>
      </w:r>
      <w:r w:rsidRPr="00812417">
        <w:rPr>
          <w:rFonts w:ascii="Times New Roman" w:hAnsi="Times New Roman" w:cs="Times New Roman"/>
          <w:sz w:val="28"/>
          <w:szCs w:val="28"/>
        </w:rPr>
        <w:t>), чтобы получить очень впечатляющие результаты, демонстрирующие эффективность методов обучения с нулевым выстрелом.</w:t>
      </w:r>
    </w:p>
    <w:p w14:paraId="4C27358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Леви и др. использовали обучение с нулевым выстрелом при извлечении отношений, обучаясь отвечать на вопросы из корпуса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LS</w:t>
      </w:r>
      <w:r w:rsidRPr="00812417">
        <w:rPr>
          <w:rFonts w:ascii="Times New Roman" w:hAnsi="Times New Roman" w:cs="Times New Roman"/>
          <w:sz w:val="28"/>
          <w:szCs w:val="28"/>
        </w:rPr>
        <w:t xml:space="preserve">17].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Йогатама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др. попытались изучить РНС как генеративные модели и эмпирически показать перспективность генеративного обучения в условиях нулевого обучения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Yog</w:t>
      </w:r>
      <w:r w:rsidRPr="00812417">
        <w:rPr>
          <w:rFonts w:ascii="Times New Roman" w:hAnsi="Times New Roman" w:cs="Times New Roman"/>
          <w:sz w:val="28"/>
          <w:szCs w:val="28"/>
        </w:rPr>
        <w:t xml:space="preserve"> + 17]. Отношения изучаются, задавая вопросы и имея предложения в ответах, которые сопоставляются с сущностью, где отношения упоминаются из заполняющих слотов наборов данных, таких как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WikiReading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Они показывают, что даже в отношении невидимых отношений обучение с нулевым выстрелом является достаточно многообещающим в качестве методологии.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Mitchell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812417">
        <w:rPr>
          <w:rFonts w:ascii="Times New Roman" w:hAnsi="Times New Roman" w:cs="Times New Roman"/>
          <w:sz w:val="28"/>
          <w:szCs w:val="28"/>
        </w:rPr>
        <w:t>. использовали беспроигрышное обучение с использованием пояснений к ярлыкам или категориям, чтобы изучить пространство встраивания с использованием ограничений и показать хорошие результаты по категоризации электронной почты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MSL</w:t>
      </w:r>
      <w:r w:rsidRPr="00812417">
        <w:rPr>
          <w:rFonts w:ascii="Times New Roman" w:hAnsi="Times New Roman" w:cs="Times New Roman"/>
          <w:sz w:val="28"/>
          <w:szCs w:val="28"/>
        </w:rPr>
        <w:t>18].</w:t>
      </w:r>
    </w:p>
    <w:p w14:paraId="173CE8A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Даган и др. предложили структуру обучения с нулевым выстрелом для проблемы извлечения событий с использованием онтологий событий и небольших, вручную аннотированных помеченных наборов данных [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Pr="00812417">
        <w:rPr>
          <w:rFonts w:ascii="Times New Roman" w:hAnsi="Times New Roman" w:cs="Times New Roman"/>
          <w:sz w:val="28"/>
          <w:szCs w:val="28"/>
        </w:rPr>
        <w:t xml:space="preserve"> + 18]. Они демонстрируют переносимость даже на невидимые типы и, кроме того, сообщают о результатах, близких к современным.</w:t>
      </w:r>
    </w:p>
    <w:p w14:paraId="16B58D55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Ян и др. решили сложную проблему классификации коротких текстов, используя обучение за несколько шагов [YZC18]. Они используют сиамские CNN для изучения кодировки, которая различает сложные и неформальные предложения. Различные структуры и темы изучаются с использованием метода обучения по принципу «несколько выстрелов», и показано, что они обобщают и обладают большей точностью, чем многие традиционные методы и методы глубокого обучения.</w:t>
      </w:r>
    </w:p>
    <w:p w14:paraId="4DFBC0B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. предложили нейронную архитектуру для обучения по принципу «несколько кадров» и «без выстрела» при детальном типе именованных сущностей, т. е. обнаружении не только сущности из предложения, но и ее типа (например, «Джон разговаривает по телефону») не только идентифицирует «Джона» как сущность, но также может декодировать, что «Джон» является говорящим [MCG16]). Они используют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прототипную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 xml:space="preserve">иерархическую информацию, чтобы изучить встраивание меток и значительно повысить производительность классификации. В своей работе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Яздани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Хендерсон используют обучение с нулевым выстрелом для понимания разговорного языка, где они назначают действиям ярлыков с атрибутами и значениями из результатов произнесения диалогов ASR [YH15]. Они создают семантическое пространство между словами и ярлыками, так что оно может формировать слой представления, который очень эффективно предсказывает невидимые слова и ярлыки.</w:t>
      </w:r>
    </w:p>
    <w:p w14:paraId="4E1DB16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Рохас-Бараона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др. показали успех глубокого обучения и обучения с нулевым выстрелом в семантическом декодировании речевых диалоговых систем. Они используют глубокое обучение для совместного изучения функций из известных и неизвестных категорий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Roj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+ 18]. Затем они используют обучение без учителя для настройки весов, дополнительно используя минимизацию риска для достижения обучения с нулевым выстрелом при тестировании на невидимых данных с парами слотов, неизвестными в обучающем наборе. Керен и др. использовать однократное обучение с сиамскими сетями для вычисления сходства между отдельными примерами из исходных данных и невидимыми примерами из целевых данных в задаче обнаружения разговорного термина в области звука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Ker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+ 18].</w:t>
      </w:r>
    </w:p>
    <w:p w14:paraId="642AC235" w14:textId="77777777" w:rsidR="000D6ECB" w:rsidRPr="00812417" w:rsidRDefault="000D6ECB" w:rsidP="00812417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Пример использования</w:t>
      </w:r>
    </w:p>
    <w:p w14:paraId="576961A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Мы рассмотрим подробный пример, чтобы изучить и понять различные вещи, обсуждаемые в этой главе, с практической точки зрения. Мы выбрали набор данных обзора продуктов Amazon, опубликованный в исследовании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Blitzer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. [BDP07] для задачи классификации настроений. В наборе данных есть обзоры различных продуктовых областей, таких как книги, DVD, кухня и электроника. Во всех доменах есть 2000 помеченных примеров с двоичными метками (положительными и отрицательными), основанными на обзорах. В области кухни и электроники также есть большое количество немаркированных примеров. В наших экспериментах мы не использовали немаркированные примеры, но рассматривали многие помеченные как немаркированные, когда это необходимо.</w:t>
      </w:r>
    </w:p>
    <w:p w14:paraId="00D3AA1F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Мы выбрали два разных случая: (1) исходный домен - это кухня, а целевой домен - электроника, и (2) исходный домен - это книги, а целевой домен - это кухня для наших экспериментов. Мы разделили все наборы данных на обучение и тестирование с 1600 и 400 примерами соответственно. Данные проверки выбираются из набора обучающих данных либо в процентах, либо в виде стратифицированной выборки. Хотя цель не в том, чтобы воспроизвести статьи или настроить каждый метод для получения наилучших результатов, мы выполнили некоторую настройку параметров и сохранили большинство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>параметров стандартными или постоянными, чтобы увидеть относительное влияние.</w:t>
      </w:r>
    </w:p>
    <w:p w14:paraId="53321D0F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Программные инструменты и библиотеки</w:t>
      </w:r>
    </w:p>
    <w:p w14:paraId="4491B253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Мы опишем основные инструменты и библиотеки с открытым исходным кодом, которые мы использовали ниже для нашего тематического исследования. Есть несколько пакетов с открытым исходным кодом для определенных алгоритмов, которые мы использовали, адаптировали или расширили, которые упоминаются в самом блокноте:</w:t>
      </w:r>
    </w:p>
    <w:p w14:paraId="2472F258" w14:textId="77777777" w:rsidR="000D6ECB" w:rsidRPr="00812417" w:rsidRDefault="000D6ECB" w:rsidP="00812417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</w:rPr>
        <w:t>Керас</w:t>
      </w: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(www.keras.io)</w:t>
      </w:r>
    </w:p>
    <w:p w14:paraId="68C7EBCA" w14:textId="77777777" w:rsidR="000D6ECB" w:rsidRPr="00812417" w:rsidRDefault="000D6ECB" w:rsidP="00812417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TensorFlow (https://www.tensorflow.org/)</w:t>
      </w:r>
    </w:p>
    <w:p w14:paraId="58AD8BB5" w14:textId="77777777" w:rsidR="000D6ECB" w:rsidRPr="00812417" w:rsidRDefault="000D6ECB" w:rsidP="00812417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Панды (https://pandas.pydata.org/)</w:t>
      </w:r>
    </w:p>
    <w:p w14:paraId="14D58B1A" w14:textId="77777777" w:rsidR="000D6ECB" w:rsidRPr="00812417" w:rsidRDefault="000D6ECB" w:rsidP="00812417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scikit-learn (http://scikit-learn.org/)</w:t>
      </w:r>
    </w:p>
    <w:p w14:paraId="5F4630F2" w14:textId="77777777" w:rsidR="000D6ECB" w:rsidRPr="00812417" w:rsidRDefault="000D6ECB" w:rsidP="00812417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Matplotlib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(</w:t>
      </w:r>
      <w:hyperlink r:id="rId18" w:history="1">
        <w:r w:rsidRPr="00812417">
          <w:rPr>
            <w:rStyle w:val="a4"/>
            <w:rFonts w:ascii="Times New Roman" w:hAnsi="Times New Roman" w:cs="Times New Roman"/>
            <w:sz w:val="28"/>
            <w:szCs w:val="28"/>
          </w:rPr>
          <w:t>https://matplotlib.org/</w:t>
        </w:r>
      </w:hyperlink>
      <w:r w:rsidRPr="00812417">
        <w:rPr>
          <w:rFonts w:ascii="Times New Roman" w:hAnsi="Times New Roman" w:cs="Times New Roman"/>
          <w:sz w:val="28"/>
          <w:szCs w:val="28"/>
        </w:rPr>
        <w:t>)</w:t>
      </w:r>
    </w:p>
    <w:p w14:paraId="22D09F37" w14:textId="77777777" w:rsidR="000D6ECB" w:rsidRPr="00812417" w:rsidRDefault="000D6ECB" w:rsidP="0081241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3878B8A7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Исследовательский анализ данных</w:t>
      </w:r>
    </w:p>
    <w:p w14:paraId="0A50B6F0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Подобно другим тематическим исследованиям, мы проведем базовый EDA, чтобы понять данные и некоторые их характеристики. Графики, показанные на рис. 11.14a, b, показывают гистограммы распределения слов по всему корпусу источника и цели для настроений. Это ясно показывает, что переход от домашней кухни к электронике может не так сильно отличаться от перехода от книг к кухонным обзорам.</w:t>
      </w:r>
    </w:p>
    <w:p w14:paraId="5586C79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Графики, показанные на рис. 11.15a – c, иллюстрируют облако слов для положительных данных в обзорах книг, кухонь и электроники. Просто визуально исследуя некоторые часто встречающиеся слова, сходство между облаком слов кухня – электроника, а также различия между книгами – кухней становится очевидным. Графики, показанные на рис. 11.16a – c, изображающие облако слов для данных о негативных настроениях в обзорах книг, кухонь и электроники, также демонстрируют те же характеристики.</w:t>
      </w:r>
    </w:p>
    <w:p w14:paraId="2EA4B53E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Эксперименты по адаптации домена</w:t>
      </w:r>
    </w:p>
    <w:p w14:paraId="7FC9D1E1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Далее мы подробно опишем все эксперименты, которые мы провели с методами трансферного обучения в форме процесса обучения, модели, алгоритмов и изменений. Опять же, цель состояла не в том, чтобы получить оптимально настроенные модели для каждой, а в том, чтобы на практике понять, как каждый метод с его предубеждениями и процессами работает с некоторыми из этих сложных реальных задач.</w:t>
      </w:r>
    </w:p>
    <w:p w14:paraId="7C85941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2D557D" wp14:editId="0C358CCE">
            <wp:extent cx="2579370" cy="167576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D677FFE" wp14:editId="06A6263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79370" cy="1675765"/>
            <wp:effectExtent l="0" t="0" r="0" b="63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417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2B8EC07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11.14:</w:t>
      </w:r>
      <w:r w:rsidRPr="00812417">
        <w:rPr>
          <w:rFonts w:ascii="Times New Roman" w:hAnsi="Times New Roman" w:cs="Times New Roman"/>
          <w:sz w:val="28"/>
          <w:szCs w:val="28"/>
        </w:rPr>
        <w:t xml:space="preserve"> Сравнение распределения слов в квартилях 25, 50 и 75%. (а) Сравнение книг и кухни. (б) Сравнение кухни и электроники</w:t>
      </w:r>
    </w:p>
    <w:p w14:paraId="1E7AA98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14D809" wp14:editId="4DB092C2">
            <wp:extent cx="6200140" cy="19132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5F25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11.15:</w:t>
      </w:r>
      <w:r w:rsidRPr="00812417">
        <w:rPr>
          <w:rFonts w:ascii="Times New Roman" w:hAnsi="Times New Roman" w:cs="Times New Roman"/>
          <w:sz w:val="28"/>
          <w:szCs w:val="28"/>
        </w:rPr>
        <w:t xml:space="preserve"> Облако слов для положительных отзывов из (а) книг, (б) кухни и (в) данных по электронике соответственно.</w:t>
      </w:r>
    </w:p>
    <w:p w14:paraId="5EEEAEB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FAECE1" wp14:editId="7A5E2364">
            <wp:extent cx="6200140" cy="1903095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1D51D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11.16:</w:t>
      </w:r>
      <w:r w:rsidRPr="00812417">
        <w:rPr>
          <w:rFonts w:ascii="Times New Roman" w:hAnsi="Times New Roman" w:cs="Times New Roman"/>
          <w:sz w:val="28"/>
          <w:szCs w:val="28"/>
        </w:rPr>
        <w:t xml:space="preserve"> Облако слов для негативных эмоций из (а) книг, (б) кухни и (в) данных по электронике, соответственно.</w:t>
      </w:r>
    </w:p>
    <w:p w14:paraId="12496E36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Мы проводим эксперименты как для книг - кухни, так и для кухни - электроники в качестве наших исходных и целевых областей. Мы используем точность классификации в качестве метрики, чтобы увидеть производительность, поскольку тестовые данные имели равное количество положительных и отрицательных настроений.</w:t>
      </w:r>
    </w:p>
    <w:p w14:paraId="2615DBB2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Предварительная обработка</w:t>
      </w:r>
    </w:p>
    <w:p w14:paraId="2F99F97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 xml:space="preserve">Мы выполняем базовую предварительную обработку необработанных данных для выполнения задач классификации тональности. Данные анализируются из документов на основе XML,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токенизируются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в слова с удалением основных стоп-слов и некоторым базовым заполнением последовательностей, чтобы обеспечить представление постоянной максимальной длины для каждого. Мы создаем словарь слов, находя все слова из источника и цели, запечатанные с максимальным размером 15000 для большинства экспериментов. Для некоторых векторно-пространственных моделей мы используем представление «мешок слов» с n-граммами размера 2 и максимальными характеристиками размера 10000.</w:t>
      </w:r>
    </w:p>
    <w:p w14:paraId="4104B7E7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Эксперименты</w:t>
      </w:r>
    </w:p>
    <w:p w14:paraId="6D0FF90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Мы будем использовать модель CNN Кима, показанную на рис. 11.17, в качестве модели классификатора в большинстве экспериментов. Мы использовали стандартные вложения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GloVe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со 100 измерениями, которые были обучены на 6 миллиардах слов. Ниже мы перечислим названия экспериментов и их цель:</w:t>
      </w:r>
    </w:p>
    <w:p w14:paraId="18D2434A" w14:textId="77777777" w:rsidR="000D6ECB" w:rsidRPr="00812417" w:rsidRDefault="000D6ECB" w:rsidP="008124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Обучить источник + тестовая цель: цель состоит в том, чтобы понять потерю передачи обучения, которая происходит, когда вы тренируетесь на исходных данных и тестируете только на целевых данных из-за изменения домена. Это, как мы уже обсуждали, может происходить постепенно с течением времени или из-за совершенно другой среды, в которой развертывается модель.</w:t>
      </w:r>
    </w:p>
    <w:p w14:paraId="556C202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Это дает базовый анализ наихудшего случая для наших экспериментов.</w:t>
      </w:r>
    </w:p>
    <w:p w14:paraId="301A9A2A" w14:textId="77777777" w:rsidR="000D6ECB" w:rsidRPr="00812417" w:rsidRDefault="000D6ECB" w:rsidP="008124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Обучающая цель + тестовая цель: этот эксперимент дает нам лучший анализ случая для модели, которая не видела исходных данных, но полностью обучена на целевых обучающих данных и спрогнозирована на основе целевых тестовых данных.</w:t>
      </w:r>
    </w:p>
    <w:p w14:paraId="07990BDD" w14:textId="77777777" w:rsidR="000D6ECB" w:rsidRPr="00812417" w:rsidRDefault="000D6ECB" w:rsidP="008124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Предварительно обученные вложения Источник + цель обучения: мы пытаемся понять влияние неконтролируемых предварительно обученных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встраиваний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на процесс обучения. Вложенный слой заморожен и не может быть обучен в этом эксперименте. Мы обучаем модель в целевом домене с помощью неконтролируемых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встраиваний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тестируем на целевом наборе тестов.</w:t>
      </w:r>
    </w:p>
    <w:p w14:paraId="1568BF28" w14:textId="77777777" w:rsidR="000D6ECB" w:rsidRPr="00812417" w:rsidRDefault="000D6ECB" w:rsidP="008124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Предварительно обученные вложения: источник + обучающая цель + точная настройка цели: мы обучаем модель в целевом домене с помощью неконтролируемых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встраиваний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но точно настраиваем слой встраивания с данными целевого поезда.</w:t>
      </w:r>
    </w:p>
    <w:p w14:paraId="6E7A18E7" w14:textId="77777777" w:rsidR="000D6ECB" w:rsidRPr="00812417" w:rsidRDefault="000D6ECB" w:rsidP="008124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Предварительно обученные вложения + обучающий источник + точная настройка источника и цели: это может быть лучшим случаем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>предварительного обучения и тонкой настройки, когда вы получаете преимущество обучения вложениям без учителя, обучения на источнике, точной настройки на цели и, таким образом, у вас есть больше примеров для изучения полезного представления.</w:t>
      </w:r>
    </w:p>
    <w:p w14:paraId="5D1A38A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0A140" wp14:editId="49B6D9B5">
            <wp:extent cx="5285740" cy="48310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D07E8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11.17:</w:t>
      </w:r>
      <w:r w:rsidRPr="00812417">
        <w:rPr>
          <w:rFonts w:ascii="Times New Roman" w:hAnsi="Times New Roman" w:cs="Times New Roman"/>
          <w:sz w:val="28"/>
          <w:szCs w:val="28"/>
        </w:rPr>
        <w:t xml:space="preserve"> Модель Кима CNN</w:t>
      </w:r>
    </w:p>
    <w:p w14:paraId="73253EEC" w14:textId="77777777" w:rsidR="000D6ECB" w:rsidRPr="00812417" w:rsidRDefault="000D6ECB" w:rsidP="008124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Составные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автоэнкодеры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DNN: мы используем DNN с составными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автокодировщиками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для неконтролируемого обучения представлению скрытых функций. Обучите модель в исходном домене без учителя. Настройте модель с новыми классификационными слоями на целевых обучающих данных и протестируйте на целевых данных.</w:t>
      </w:r>
    </w:p>
    <w:p w14:paraId="76EBD64C" w14:textId="77777777" w:rsidR="000D6ECB" w:rsidRPr="00812417" w:rsidRDefault="000D6ECB" w:rsidP="008124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Составные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автоэнкодеры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 CNN. Цель состоит в том, чтобы понять влияние латентного представления, полученного из невидимых исходных данных, на целевой домен с использованием CNN для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автоэнкодеров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как показано на рис. 11.18a, b.</w:t>
      </w:r>
    </w:p>
    <w:p w14:paraId="50891779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Пример кода, показывающий, как устроен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автокодировщик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:</w:t>
      </w:r>
    </w:p>
    <w:p w14:paraId="36564C28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 input layer = Input ( shape=(300, 300) )</w:t>
      </w:r>
    </w:p>
    <w:p w14:paraId="27B47426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2 # encoding layers to form the bottleneck</w:t>
      </w:r>
    </w:p>
    <w:p w14:paraId="50D89292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3 encoded h1 = Dense (128 , activation= ’tanh ’ )( input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</w:p>
    <w:p w14:paraId="1F7BD0CB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layer )</w:t>
      </w:r>
    </w:p>
    <w:p w14:paraId="6C05C8D8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4 encoded h2 = Dense (64 , activation= ’tanh ’ ) ( encoded h1 )</w:t>
      </w:r>
    </w:p>
    <w:p w14:paraId="34F70327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5 encoded h3 = Dense (32 , activation= ’tanh ’ ) ( encoded h2 )</w:t>
      </w:r>
    </w:p>
    <w:p w14:paraId="0340AC3D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6 encoded h4 = Dense (16 , activation= ’tanh ’ ) ( encoded h3 )</w:t>
      </w:r>
    </w:p>
    <w:p w14:paraId="631C550F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7 encoded h5 = Dense (8 , activation= ’tanh ’ ) ( encoded h4 )</w:t>
      </w:r>
    </w:p>
    <w:p w14:paraId="50F8036E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8 # latent or coding layer</w:t>
      </w:r>
    </w:p>
    <w:p w14:paraId="55A881C7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9 latent = Dense (2 , activation= ’tanh ’ ) ( encoded h5 )</w:t>
      </w:r>
    </w:p>
    <w:p w14:paraId="3C87A1EF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10 # decoding layers</w:t>
      </w:r>
    </w:p>
    <w:p w14:paraId="3A5C2438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11 decoder h1 = Dense (8 , activation= ’tanh ’ )( latent )</w:t>
      </w:r>
    </w:p>
    <w:p w14:paraId="7BE63C60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12 decoder h2 = Dense (16 , activation= ’tanh ’ ) ( decoder h1 )</w:t>
      </w:r>
    </w:p>
    <w:p w14:paraId="4AA72C61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A5E68AC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CADD35" wp14:editId="2F94F5AC">
            <wp:extent cx="6469380" cy="4973955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497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24362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Рис. 11.18:</w:t>
      </w:r>
      <w:r w:rsidRPr="00812417">
        <w:rPr>
          <w:rFonts w:ascii="Times New Roman" w:hAnsi="Times New Roman" w:cs="Times New Roman"/>
          <w:sz w:val="28"/>
          <w:szCs w:val="28"/>
        </w:rPr>
        <w:t xml:space="preserve"> Обучение без учителя из источника с использованием (а) DNN и (б) автоматических кодировщиков CNN и дальнейшее обучение / тестирование на целевом уровне с классификационным слоем в Керасе</w:t>
      </w:r>
    </w:p>
    <w:p w14:paraId="1D3FE996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13 decoder h3 = Dense (32 , activation= ’tanh ’ ) ( decoder h2 )</w:t>
      </w:r>
    </w:p>
    <w:p w14:paraId="37F0D0F2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14 decoder h4 = Dense (64 , activation= ’tanh ’ ) ( decoder h3 )</w:t>
      </w:r>
    </w:p>
    <w:p w14:paraId="2C8CA942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15 decoder h5 = Dense (128 , activation= ’tanh ’ ) ( decoder h4 )</w:t>
      </w:r>
    </w:p>
    <w:p w14:paraId="2B461E8C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lastRenderedPageBreak/>
        <w:t>16 # output layer</w:t>
      </w:r>
    </w:p>
    <w:p w14:paraId="3C0EA4F8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17 output layer = Dense (300 , activation= ’tanh ’ ) ( decoder h5 )</w:t>
      </w:r>
    </w:p>
    <w:p w14:paraId="18DB9C35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18 # autoencoder using deep neural networks</w:t>
      </w:r>
    </w:p>
    <w:p w14:paraId="3C045620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19 autoencoder = Model ( input layer , output layer )</w:t>
      </w:r>
    </w:p>
    <w:p w14:paraId="0D68DE4C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20 autoencoder . summary ()</w:t>
      </w:r>
    </w:p>
    <w:p w14:paraId="0B24C6D4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21 autoencoder . compile ( ’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adadelta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’ , ’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mse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’ )</w:t>
      </w:r>
    </w:p>
    <w:p w14:paraId="1CEC75DB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22</w:t>
      </w:r>
    </w:p>
    <w:p w14:paraId="367206EF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F80D764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автоэнкодера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со слоями кодирования для классификации:</w:t>
      </w:r>
    </w:p>
    <w:p w14:paraId="1CD3E5A1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 # create a sequential model</w:t>
      </w:r>
    </w:p>
    <w:p w14:paraId="081D2436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2 classification model = Sequential ()</w:t>
      </w:r>
    </w:p>
    <w:p w14:paraId="6102F379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3 # add all the encoding layers from autoencoder</w:t>
      </w:r>
    </w:p>
    <w:p w14:paraId="49434A37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4 classification model . add ( autoencoder . layers [0])</w:t>
      </w:r>
    </w:p>
    <w:p w14:paraId="3582F0FB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5 classification model . add ( autoencoder . layers [1])</w:t>
      </w:r>
    </w:p>
    <w:p w14:paraId="7B638E38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6 classification model . add ( autoencoder . layers [2])</w:t>
      </w:r>
    </w:p>
    <w:p w14:paraId="3553EDA9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7 classification model . add ( autoencoder . layers [3])</w:t>
      </w:r>
    </w:p>
    <w:p w14:paraId="6FD134D9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8 classification model . add ( autoencoder . layers [4])</w:t>
      </w:r>
    </w:p>
    <w:p w14:paraId="47E55B79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9 classification model . add ( autoencoder . layers [5])</w:t>
      </w:r>
    </w:p>
    <w:p w14:paraId="44F30780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10 # flatten the output</w:t>
      </w:r>
    </w:p>
    <w:p w14:paraId="3A738B79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11 classification model . add ( Flatten () )</w:t>
      </w:r>
    </w:p>
    <w:p w14:paraId="7DBA6FDA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12 # classification layer</w:t>
      </w:r>
    </w:p>
    <w:p w14:paraId="746208A9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13 classification model . add ( Dense (2 , activation= ’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softmax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’ ) )</w:t>
      </w:r>
    </w:p>
    <w:p w14:paraId="6FF32F02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14 classification model . compile ( optimizer= ’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rmsprop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’ ,</w:t>
      </w:r>
    </w:p>
    <w:p w14:paraId="5F5F440E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15 loss= ’</w:t>
      </w:r>
    </w:p>
    <w:p w14:paraId="64C2AF51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categorical </w:t>
      </w:r>
      <w:proofErr w:type="spellStart"/>
      <w:r w:rsidRPr="00812417">
        <w:rPr>
          <w:rFonts w:ascii="Times New Roman" w:hAnsi="Times New Roman" w:cs="Times New Roman"/>
          <w:sz w:val="28"/>
          <w:szCs w:val="28"/>
          <w:lang w:val="en-US"/>
        </w:rPr>
        <w:t>crossentropy</w:t>
      </w:r>
      <w:proofErr w:type="spellEnd"/>
      <w:r w:rsidRPr="00812417">
        <w:rPr>
          <w:rFonts w:ascii="Times New Roman" w:hAnsi="Times New Roman" w:cs="Times New Roman"/>
          <w:sz w:val="28"/>
          <w:szCs w:val="28"/>
          <w:lang w:val="en-US"/>
        </w:rPr>
        <w:t xml:space="preserve"> ’ ,</w:t>
      </w:r>
    </w:p>
    <w:p w14:paraId="1BCC954A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417">
        <w:rPr>
          <w:rFonts w:ascii="Times New Roman" w:hAnsi="Times New Roman" w:cs="Times New Roman"/>
          <w:sz w:val="28"/>
          <w:szCs w:val="28"/>
          <w:lang w:val="en-US"/>
        </w:rPr>
        <w:t>16 metrics =[ ’accuracy ’ ] )</w:t>
      </w:r>
    </w:p>
    <w:p w14:paraId="1287E9B7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17</w:t>
      </w:r>
    </w:p>
    <w:p w14:paraId="031DBCF1" w14:textId="77777777" w:rsidR="000D6ECB" w:rsidRPr="00812417" w:rsidRDefault="000D6ECB" w:rsidP="0081241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26E62A84" w14:textId="77777777" w:rsidR="000D6ECB" w:rsidRPr="00812417" w:rsidRDefault="000D6ECB" w:rsidP="008124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Маргинальные составные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автокодеры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: цель этого эксперимента - понять влияние архитектуры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mSDA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на адаптацию домена [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+ 12]. Сначала мы изучаем совместное представление, используя исходные и целевые данные. Затем мы используем последний слой в качестве векторного слоя из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mSDA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, объединенного с входными слоями, для обучения SVM на основе помеченных исходных данных и прогнозирования на немаркированных целевых тестовых данных.</w:t>
      </w:r>
    </w:p>
    <w:p w14:paraId="66F9CFF0" w14:textId="77777777" w:rsidR="000D6ECB" w:rsidRPr="00812417" w:rsidRDefault="000D6ECB" w:rsidP="008124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Статистический метод второго порядка (Deep CORAL, CMD и MMD): цель состоит в том, чтобы увидеть, не помечены ли целевые данные, может ли метод второго порядка, основанный на статистике, который может учиться у источника и цели, быть полезным для прогнозирования цели при сдвиге домена.</w:t>
      </w:r>
    </w:p>
    <w:p w14:paraId="18AB0DB2" w14:textId="77777777" w:rsidR="000D6ECB" w:rsidRPr="00812417" w:rsidRDefault="000D6ECB" w:rsidP="008124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lastRenderedPageBreak/>
        <w:t>Соревновательная нейронная сеть домена (DANN): цель состоит в том, чтобы увидеть, не помечены ли целевые данные, может ли состязательный метод, который может учиться у источника и цели, быть полезным для прогнозирования цели при сдвиге домена (таблица 11.1).</w:t>
      </w:r>
    </w:p>
    <w:p w14:paraId="75392187" w14:textId="77777777" w:rsidR="000D6ECB" w:rsidRPr="00812417" w:rsidRDefault="000D6ECB" w:rsidP="008124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C83D44" w14:textId="77777777" w:rsidR="000D6ECB" w:rsidRPr="00812417" w:rsidRDefault="000D6ECB" w:rsidP="00812417">
      <w:pPr>
        <w:pStyle w:val="a3"/>
        <w:numPr>
          <w:ilvl w:val="3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Результаты и анализ</w:t>
      </w:r>
    </w:p>
    <w:p w14:paraId="3BE3320B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Таблица 11.1:</w:t>
      </w:r>
      <w:r w:rsidRPr="00812417">
        <w:rPr>
          <w:rFonts w:ascii="Times New Roman" w:hAnsi="Times New Roman" w:cs="Times New Roman"/>
          <w:sz w:val="28"/>
          <w:szCs w:val="28"/>
        </w:rPr>
        <w:t xml:space="preserve"> Эксперименты по адаптации домена на двух разных наборах данных для анализа влияния сдвига домена источник-целевой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9"/>
        <w:gridCol w:w="2003"/>
        <w:gridCol w:w="2087"/>
      </w:tblGrid>
      <w:tr w:rsidR="000D6ECB" w:rsidRPr="00812417" w14:paraId="28DD7CCD" w14:textId="77777777" w:rsidTr="00D81CDD">
        <w:tc>
          <w:tcPr>
            <w:tcW w:w="5099" w:type="dxa"/>
          </w:tcPr>
          <w:p w14:paraId="1603AFC2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</w:t>
            </w:r>
          </w:p>
        </w:tc>
        <w:tc>
          <w:tcPr>
            <w:tcW w:w="2003" w:type="dxa"/>
          </w:tcPr>
          <w:p w14:paraId="267A5E33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(книги) и цель (кухня) точность теста</w:t>
            </w:r>
          </w:p>
        </w:tc>
        <w:tc>
          <w:tcPr>
            <w:tcW w:w="2087" w:type="dxa"/>
          </w:tcPr>
          <w:p w14:paraId="3F7C9143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(кухня) и цель (электроника) точность теста</w:t>
            </w:r>
          </w:p>
        </w:tc>
      </w:tr>
      <w:tr w:rsidR="000D6ECB" w:rsidRPr="00812417" w14:paraId="247C82E3" w14:textId="77777777" w:rsidTr="00D81CDD">
        <w:tc>
          <w:tcPr>
            <w:tcW w:w="5099" w:type="dxa"/>
          </w:tcPr>
          <w:p w14:paraId="5409868F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Источник поезда + тестовая цель</w:t>
            </w:r>
          </w:p>
        </w:tc>
        <w:tc>
          <w:tcPr>
            <w:tcW w:w="2003" w:type="dxa"/>
          </w:tcPr>
          <w:p w14:paraId="0C7BFDBC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  <w:tc>
          <w:tcPr>
            <w:tcW w:w="2087" w:type="dxa"/>
          </w:tcPr>
          <w:p w14:paraId="0BC1CA5A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78,00</w:t>
            </w:r>
          </w:p>
        </w:tc>
      </w:tr>
      <w:tr w:rsidR="000D6ECB" w:rsidRPr="00812417" w14:paraId="3C2BB958" w14:textId="77777777" w:rsidTr="00D81CDD">
        <w:tc>
          <w:tcPr>
            <w:tcW w:w="5099" w:type="dxa"/>
          </w:tcPr>
          <w:p w14:paraId="57B60E0A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Тренировочная цель + тестовая цель</w:t>
            </w:r>
          </w:p>
        </w:tc>
        <w:tc>
          <w:tcPr>
            <w:tcW w:w="2003" w:type="dxa"/>
          </w:tcPr>
          <w:p w14:paraId="7E456BB9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84,25</w:t>
            </w:r>
          </w:p>
        </w:tc>
        <w:tc>
          <w:tcPr>
            <w:tcW w:w="2087" w:type="dxa"/>
          </w:tcPr>
          <w:p w14:paraId="48428D18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  <w:tr w:rsidR="000D6ECB" w:rsidRPr="00812417" w14:paraId="36FF9336" w14:textId="77777777" w:rsidTr="00D81CDD">
        <w:tc>
          <w:tcPr>
            <w:tcW w:w="5099" w:type="dxa"/>
          </w:tcPr>
          <w:p w14:paraId="747246D2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Предварительно обученный источник вложений + цель теста</w:t>
            </w:r>
          </w:p>
        </w:tc>
        <w:tc>
          <w:tcPr>
            <w:tcW w:w="2003" w:type="dxa"/>
          </w:tcPr>
          <w:p w14:paraId="5F13EF08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81,5</w:t>
            </w:r>
          </w:p>
        </w:tc>
        <w:tc>
          <w:tcPr>
            <w:tcW w:w="2087" w:type="dxa"/>
          </w:tcPr>
          <w:p w14:paraId="1AC5F2C8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80,25</w:t>
            </w:r>
          </w:p>
        </w:tc>
      </w:tr>
      <w:tr w:rsidR="000D6ECB" w:rsidRPr="00812417" w14:paraId="5F24BF10" w14:textId="77777777" w:rsidTr="00D81CDD">
        <w:tc>
          <w:tcPr>
            <w:tcW w:w="5099" w:type="dxa"/>
          </w:tcPr>
          <w:p w14:paraId="05BF4D12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Предварительно обученный источник встраивания + обучающая цель + точная настройка цели</w:t>
            </w:r>
          </w:p>
        </w:tc>
        <w:tc>
          <w:tcPr>
            <w:tcW w:w="2003" w:type="dxa"/>
          </w:tcPr>
          <w:p w14:paraId="16FC65D6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2087" w:type="dxa"/>
          </w:tcPr>
          <w:p w14:paraId="6BDB825B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</w:tr>
      <w:tr w:rsidR="000D6ECB" w:rsidRPr="00812417" w14:paraId="451FDDB1" w14:textId="77777777" w:rsidTr="00D81CDD">
        <w:tc>
          <w:tcPr>
            <w:tcW w:w="5099" w:type="dxa"/>
          </w:tcPr>
          <w:p w14:paraId="1FC2B922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Предварительно обученные вложения + обучающий исходный код + точная настройка исходного кода и цели</w:t>
            </w:r>
          </w:p>
        </w:tc>
        <w:tc>
          <w:tcPr>
            <w:tcW w:w="2003" w:type="dxa"/>
          </w:tcPr>
          <w:p w14:paraId="0C450B8C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85,75</w:t>
            </w:r>
          </w:p>
        </w:tc>
        <w:tc>
          <w:tcPr>
            <w:tcW w:w="2087" w:type="dxa"/>
          </w:tcPr>
          <w:p w14:paraId="4FD8A431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86,75</w:t>
            </w:r>
          </w:p>
        </w:tc>
      </w:tr>
      <w:tr w:rsidR="000D6ECB" w:rsidRPr="00812417" w14:paraId="0DFD72C8" w14:textId="77777777" w:rsidTr="00D81CDD">
        <w:tc>
          <w:tcPr>
            <w:tcW w:w="5099" w:type="dxa"/>
          </w:tcPr>
          <w:p w14:paraId="7288ACBC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</w:t>
            </w:r>
            <w:proofErr w:type="spellStart"/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автокодеры</w:t>
            </w:r>
            <w:proofErr w:type="spellEnd"/>
            <w:r w:rsidRPr="00812417">
              <w:rPr>
                <w:rFonts w:ascii="Times New Roman" w:hAnsi="Times New Roman" w:cs="Times New Roman"/>
                <w:sz w:val="28"/>
                <w:szCs w:val="28"/>
              </w:rPr>
              <w:t xml:space="preserve"> и DNN</w:t>
            </w:r>
          </w:p>
        </w:tc>
        <w:tc>
          <w:tcPr>
            <w:tcW w:w="2003" w:type="dxa"/>
          </w:tcPr>
          <w:p w14:paraId="0057958C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67,75</w:t>
            </w:r>
          </w:p>
        </w:tc>
        <w:tc>
          <w:tcPr>
            <w:tcW w:w="2087" w:type="dxa"/>
          </w:tcPr>
          <w:p w14:paraId="3B10C90B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63,75</w:t>
            </w:r>
          </w:p>
        </w:tc>
      </w:tr>
      <w:tr w:rsidR="000D6ECB" w:rsidRPr="00812417" w14:paraId="5E51427C" w14:textId="77777777" w:rsidTr="00D81CDD">
        <w:tc>
          <w:tcPr>
            <w:tcW w:w="5099" w:type="dxa"/>
          </w:tcPr>
          <w:p w14:paraId="4F2924F8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</w:t>
            </w:r>
            <w:proofErr w:type="spellStart"/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автокодеры</w:t>
            </w:r>
            <w:proofErr w:type="spellEnd"/>
            <w:r w:rsidRPr="00812417">
              <w:rPr>
                <w:rFonts w:ascii="Times New Roman" w:hAnsi="Times New Roman" w:cs="Times New Roman"/>
                <w:sz w:val="28"/>
                <w:szCs w:val="28"/>
              </w:rPr>
              <w:t xml:space="preserve"> и CNN</w:t>
            </w:r>
          </w:p>
        </w:tc>
        <w:tc>
          <w:tcPr>
            <w:tcW w:w="2003" w:type="dxa"/>
          </w:tcPr>
          <w:p w14:paraId="787C0E6A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78,25</w:t>
            </w:r>
          </w:p>
        </w:tc>
        <w:tc>
          <w:tcPr>
            <w:tcW w:w="2087" w:type="dxa"/>
          </w:tcPr>
          <w:p w14:paraId="4A41EDEC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79,25</w:t>
            </w:r>
          </w:p>
        </w:tc>
      </w:tr>
      <w:tr w:rsidR="000D6ECB" w:rsidRPr="00812417" w14:paraId="1DE6F249" w14:textId="77777777" w:rsidTr="00D81CDD">
        <w:tc>
          <w:tcPr>
            <w:tcW w:w="5099" w:type="dxa"/>
          </w:tcPr>
          <w:p w14:paraId="6E708163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 xml:space="preserve">Маргинальные составные </w:t>
            </w:r>
            <w:proofErr w:type="spellStart"/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автокодеры</w:t>
            </w:r>
            <w:proofErr w:type="spellEnd"/>
          </w:p>
        </w:tc>
        <w:tc>
          <w:tcPr>
            <w:tcW w:w="2003" w:type="dxa"/>
          </w:tcPr>
          <w:p w14:paraId="6D2093D8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2087" w:type="dxa"/>
          </w:tcPr>
          <w:p w14:paraId="15D4C06E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69,75</w:t>
            </w:r>
          </w:p>
        </w:tc>
      </w:tr>
      <w:tr w:rsidR="000D6ECB" w:rsidRPr="00812417" w14:paraId="1613D12A" w14:textId="77777777" w:rsidTr="00D81CDD">
        <w:tc>
          <w:tcPr>
            <w:tcW w:w="5099" w:type="dxa"/>
          </w:tcPr>
          <w:p w14:paraId="3FE9A872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КОРАЛЛ</w:t>
            </w:r>
          </w:p>
        </w:tc>
        <w:tc>
          <w:tcPr>
            <w:tcW w:w="2003" w:type="dxa"/>
          </w:tcPr>
          <w:p w14:paraId="01EFF3A9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63,25</w:t>
            </w:r>
          </w:p>
        </w:tc>
        <w:tc>
          <w:tcPr>
            <w:tcW w:w="2087" w:type="dxa"/>
          </w:tcPr>
          <w:p w14:paraId="6D63507E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69,25</w:t>
            </w:r>
          </w:p>
        </w:tc>
      </w:tr>
      <w:tr w:rsidR="000D6ECB" w:rsidRPr="00812417" w14:paraId="768C246D" w14:textId="77777777" w:rsidTr="00D81CDD">
        <w:tc>
          <w:tcPr>
            <w:tcW w:w="5099" w:type="dxa"/>
          </w:tcPr>
          <w:p w14:paraId="114BE525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CMD</w:t>
            </w:r>
          </w:p>
        </w:tc>
        <w:tc>
          <w:tcPr>
            <w:tcW w:w="2003" w:type="dxa"/>
          </w:tcPr>
          <w:p w14:paraId="27A2685A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63,25</w:t>
            </w:r>
          </w:p>
        </w:tc>
        <w:tc>
          <w:tcPr>
            <w:tcW w:w="2087" w:type="dxa"/>
          </w:tcPr>
          <w:p w14:paraId="1C8A091B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69,25</w:t>
            </w:r>
          </w:p>
        </w:tc>
      </w:tr>
      <w:tr w:rsidR="000D6ECB" w:rsidRPr="00812417" w14:paraId="4DCF605B" w14:textId="77777777" w:rsidTr="00D81CDD">
        <w:tc>
          <w:tcPr>
            <w:tcW w:w="5099" w:type="dxa"/>
          </w:tcPr>
          <w:p w14:paraId="795E5EB5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ММД</w:t>
            </w:r>
          </w:p>
        </w:tc>
        <w:tc>
          <w:tcPr>
            <w:tcW w:w="2003" w:type="dxa"/>
          </w:tcPr>
          <w:p w14:paraId="3464425C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63,25</w:t>
            </w:r>
          </w:p>
        </w:tc>
        <w:tc>
          <w:tcPr>
            <w:tcW w:w="2087" w:type="dxa"/>
          </w:tcPr>
          <w:p w14:paraId="05529FF6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69,25</w:t>
            </w:r>
          </w:p>
        </w:tc>
      </w:tr>
      <w:tr w:rsidR="000D6ECB" w:rsidRPr="00812417" w14:paraId="0B4028AB" w14:textId="77777777" w:rsidTr="00D81CDD">
        <w:tc>
          <w:tcPr>
            <w:tcW w:w="5099" w:type="dxa"/>
          </w:tcPr>
          <w:p w14:paraId="27B0618C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ДАНН</w:t>
            </w:r>
          </w:p>
        </w:tc>
        <w:tc>
          <w:tcPr>
            <w:tcW w:w="2003" w:type="dxa"/>
          </w:tcPr>
          <w:p w14:paraId="349AED36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75.00</w:t>
            </w:r>
          </w:p>
        </w:tc>
        <w:tc>
          <w:tcPr>
            <w:tcW w:w="2087" w:type="dxa"/>
          </w:tcPr>
          <w:p w14:paraId="368AF0AF" w14:textId="77777777" w:rsidR="000D6ECB" w:rsidRPr="00812417" w:rsidRDefault="000D6ECB" w:rsidP="0081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7">
              <w:rPr>
                <w:rFonts w:ascii="Times New Roman" w:hAnsi="Times New Roman" w:cs="Times New Roman"/>
                <w:sz w:val="28"/>
                <w:szCs w:val="28"/>
              </w:rPr>
              <w:t>80.0</w:t>
            </w:r>
          </w:p>
        </w:tc>
      </w:tr>
    </w:tbl>
    <w:p w14:paraId="3764D95A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F31223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Некоторые наблюдения и анализ результатов приведены ниже:</w:t>
      </w:r>
    </w:p>
    <w:p w14:paraId="320B8449" w14:textId="77777777" w:rsidR="000D6ECB" w:rsidRPr="00812417" w:rsidRDefault="000D6ECB" w:rsidP="0081241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Книги на кухню имеют более высокие потери при передаче домена, с точностью до поезда (78,25) и точностью тестирования (69,00) это 9,25, по сравнению с кухней на электронику, с точностью поезда (83,75) и точностью тестирования (78,00) это 5,75. Облако слов и распределение данных подтверждают, что обзоры, написанные для книг, сильно отличаются по сравнению с кухней и электроникой.</w:t>
      </w:r>
    </w:p>
    <w:p w14:paraId="7EDEA780" w14:textId="77777777" w:rsidR="000D6ECB" w:rsidRPr="00812417" w:rsidRDefault="000D6ECB" w:rsidP="0081241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Использование предварительно обученных внедрений оказывает влияние, и постепенное улучшение, наблюдаемое при переходе от </w:t>
      </w:r>
      <w:r w:rsidRPr="00812417">
        <w:rPr>
          <w:rFonts w:ascii="Times New Roman" w:hAnsi="Times New Roman" w:cs="Times New Roman"/>
          <w:sz w:val="28"/>
          <w:szCs w:val="28"/>
        </w:rPr>
        <w:lastRenderedPageBreak/>
        <w:t>просто замороженных внедрений к вложениям, обученным на исходном и целевом уровнях, оправдывает переносное обучение.</w:t>
      </w:r>
    </w:p>
    <w:p w14:paraId="3ECCE88A" w14:textId="77777777" w:rsidR="000D6ECB" w:rsidRPr="00812417" w:rsidRDefault="000D6ECB" w:rsidP="0081241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Один из лучших результатов наблюдается как для книг - кухни, так и для кухонной электроники, когда используются предварительно обученные вложения, прошедшие сквозное обучение сначала на источнике, а затем на целевом объекте. Таким образом, преимущество обучения без учителя и точной настройки для адаптации к сдвигу предметной области очень очевидно.</w:t>
      </w:r>
    </w:p>
    <w:p w14:paraId="5601C688" w14:textId="77777777" w:rsidR="000D6ECB" w:rsidRPr="00812417" w:rsidRDefault="000D6ECB" w:rsidP="0081241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Составные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автокодеры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с CNN показывают лучшие результаты, чем с обычными DNN, доказывая эффективность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автокодировщиков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в улавливании скрытых функций и многоуровневых CNN в улавливании сигналов для классификации.</w:t>
      </w:r>
    </w:p>
    <w:p w14:paraId="1D2A256D" w14:textId="77777777" w:rsidR="000D6ECB" w:rsidRPr="00812417" w:rsidRDefault="000D6ECB" w:rsidP="0081241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Большинство статистических методов, таких как CORAL, CMD и MMD, не показывают хороших результатов.</w:t>
      </w:r>
    </w:p>
    <w:p w14:paraId="74EA8E27" w14:textId="77777777" w:rsidR="000D6ECB" w:rsidRPr="00812417" w:rsidRDefault="000D6ECB" w:rsidP="0081241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Состязательные методы, такие как DANN, показывают многообещающие перспективы только с мелкими сетями.</w:t>
      </w:r>
    </w:p>
    <w:p w14:paraId="655C59EA" w14:textId="77777777" w:rsidR="000D6ECB" w:rsidRPr="00812417" w:rsidRDefault="000D6ECB" w:rsidP="008124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F247A4" w14:textId="77777777" w:rsidR="000D6ECB" w:rsidRPr="00812417" w:rsidRDefault="000D6ECB" w:rsidP="00812417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417">
        <w:rPr>
          <w:rFonts w:ascii="Times New Roman" w:hAnsi="Times New Roman" w:cs="Times New Roman"/>
          <w:b/>
          <w:sz w:val="28"/>
          <w:szCs w:val="28"/>
        </w:rPr>
        <w:t>Упражнения для читателей и практиков</w:t>
      </w:r>
    </w:p>
    <w:p w14:paraId="43B32C0E" w14:textId="77777777" w:rsidR="000D6ECB" w:rsidRPr="00812417" w:rsidRDefault="000D6ECB" w:rsidP="00812417">
      <w:p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Вот некоторые другие интересные задачи, которые читатели и практики могут решить самостоятельно:</w:t>
      </w:r>
    </w:p>
    <w:p w14:paraId="4BADE7E2" w14:textId="77777777" w:rsidR="000D6ECB" w:rsidRPr="00812417" w:rsidRDefault="000D6ECB" w:rsidP="0081241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Какое влияние окажет объединение исходных и целевых обучающих данных вместе и тестирования на невидимый целевой тест?</w:t>
      </w:r>
    </w:p>
    <w:p w14:paraId="69A597ED" w14:textId="77777777" w:rsidR="000D6ECB" w:rsidRPr="00812417" w:rsidRDefault="000D6ECB" w:rsidP="0081241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Какое влияние окажет использование помеченных и немаркированных данных из источника и целевого объекта для изучения встраивания, а затем с помощью различных методов? Дают ли вложения, основанные на сантиментах, лучшие результаты, чем обычные вложения?</w:t>
      </w:r>
    </w:p>
    <w:p w14:paraId="10C23C3D" w14:textId="77777777" w:rsidR="000D6ECB" w:rsidRPr="00812417" w:rsidRDefault="000D6ECB" w:rsidP="0081241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Какое влияние окажут различные техники внедрения, изученные в гл. 5 по экспериментам?</w:t>
      </w:r>
    </w:p>
    <w:p w14:paraId="068D9B2C" w14:textId="77777777" w:rsidR="000D6ECB" w:rsidRPr="00812417" w:rsidRDefault="000D6ECB" w:rsidP="0081241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Каким будет влияние различных структур глубокого обучения на классификацию, о которых мы узнали в гл. 6 по экспериментам?</w:t>
      </w:r>
    </w:p>
    <w:p w14:paraId="0186A481" w14:textId="77777777" w:rsidR="000D6ECB" w:rsidRPr="00812417" w:rsidRDefault="000D6ECB" w:rsidP="0081241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 xml:space="preserve">Что мы увидим с другими методами адаптации домена, такими как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CycleGAN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812417">
        <w:rPr>
          <w:rFonts w:ascii="Times New Roman" w:hAnsi="Times New Roman" w:cs="Times New Roman"/>
          <w:sz w:val="28"/>
          <w:szCs w:val="28"/>
        </w:rPr>
        <w:t>CoGAN</w:t>
      </w:r>
      <w:proofErr w:type="spellEnd"/>
      <w:r w:rsidRPr="00812417">
        <w:rPr>
          <w:rFonts w:ascii="Times New Roman" w:hAnsi="Times New Roman" w:cs="Times New Roman"/>
          <w:sz w:val="28"/>
          <w:szCs w:val="28"/>
        </w:rPr>
        <w:t>?</w:t>
      </w:r>
    </w:p>
    <w:p w14:paraId="2561A136" w14:textId="77777777" w:rsidR="000D6ECB" w:rsidRPr="00812417" w:rsidRDefault="000D6ECB" w:rsidP="0081241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Каковы будут потери при передаче и улучшения на другом источнике-целевом, таком как DVD-кухня?</w:t>
      </w:r>
    </w:p>
    <w:p w14:paraId="2D725EE0" w14:textId="77777777" w:rsidR="000D6ECB" w:rsidRPr="0082527F" w:rsidRDefault="000D6ECB" w:rsidP="0081241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417">
        <w:rPr>
          <w:rFonts w:ascii="Times New Roman" w:hAnsi="Times New Roman" w:cs="Times New Roman"/>
          <w:sz w:val="28"/>
          <w:szCs w:val="28"/>
        </w:rPr>
        <w:t>Какие из этих методов можно использовать для задач обучения с передачей распознавания речи?</w:t>
      </w:r>
    </w:p>
    <w:p w14:paraId="17AE7694" w14:textId="77777777" w:rsidR="008656EC" w:rsidRPr="000D6ECB" w:rsidRDefault="008656EC">
      <w:pPr>
        <w:rPr>
          <w:rFonts w:ascii="Times New Roman" w:hAnsi="Times New Roman" w:cs="Times New Roman"/>
          <w:sz w:val="24"/>
          <w:szCs w:val="24"/>
        </w:rPr>
      </w:pPr>
    </w:p>
    <w:sectPr w:rsidR="008656EC" w:rsidRPr="000D6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A48"/>
    <w:multiLevelType w:val="hybridMultilevel"/>
    <w:tmpl w:val="E46A7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409EA"/>
    <w:multiLevelType w:val="hybridMultilevel"/>
    <w:tmpl w:val="F2F43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959DB"/>
    <w:multiLevelType w:val="hybridMultilevel"/>
    <w:tmpl w:val="E996A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C0615"/>
    <w:multiLevelType w:val="multilevel"/>
    <w:tmpl w:val="2AE29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C249E"/>
    <w:multiLevelType w:val="hybridMultilevel"/>
    <w:tmpl w:val="E92E2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3639C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C2459"/>
    <w:multiLevelType w:val="hybridMultilevel"/>
    <w:tmpl w:val="3AD0B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F47C3"/>
    <w:multiLevelType w:val="hybridMultilevel"/>
    <w:tmpl w:val="AA68C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40AA9"/>
    <w:multiLevelType w:val="hybridMultilevel"/>
    <w:tmpl w:val="63AE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05875"/>
    <w:multiLevelType w:val="hybridMultilevel"/>
    <w:tmpl w:val="A29CB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A7633"/>
    <w:multiLevelType w:val="hybridMultilevel"/>
    <w:tmpl w:val="79CE3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D2E64"/>
    <w:multiLevelType w:val="multilevel"/>
    <w:tmpl w:val="2ED8803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630937188">
    <w:abstractNumId w:val="5"/>
  </w:num>
  <w:num w:numId="2" w16cid:durableId="1585336859">
    <w:abstractNumId w:val="10"/>
  </w:num>
  <w:num w:numId="3" w16cid:durableId="930351992">
    <w:abstractNumId w:val="1"/>
  </w:num>
  <w:num w:numId="4" w16cid:durableId="998538680">
    <w:abstractNumId w:val="4"/>
  </w:num>
  <w:num w:numId="5" w16cid:durableId="1022633672">
    <w:abstractNumId w:val="2"/>
  </w:num>
  <w:num w:numId="6" w16cid:durableId="1311321699">
    <w:abstractNumId w:val="6"/>
  </w:num>
  <w:num w:numId="7" w16cid:durableId="1291593057">
    <w:abstractNumId w:val="3"/>
  </w:num>
  <w:num w:numId="8" w16cid:durableId="603806869">
    <w:abstractNumId w:val="8"/>
  </w:num>
  <w:num w:numId="9" w16cid:durableId="1777405662">
    <w:abstractNumId w:val="0"/>
  </w:num>
  <w:num w:numId="10" w16cid:durableId="1601835614">
    <w:abstractNumId w:val="7"/>
  </w:num>
  <w:num w:numId="11" w16cid:durableId="511187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CB"/>
    <w:rsid w:val="000D6ECB"/>
    <w:rsid w:val="0076426A"/>
    <w:rsid w:val="00812417"/>
    <w:rsid w:val="0086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2DC0"/>
  <w15:chartTrackingRefBased/>
  <w15:docId w15:val="{9C81709C-3B25-4A9E-BE15-284FEF53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E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6EC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D6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hyperlink" Target="https://matplotlib.org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19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8.emf"/><Relationship Id="rId10" Type="http://schemas.openxmlformats.org/officeDocument/2006/relationships/image" Target="media/image6.emf"/><Relationship Id="rId19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10988</Words>
  <Characters>62637</Characters>
  <Application>Microsoft Office Word</Application>
  <DocSecurity>0</DocSecurity>
  <Lines>521</Lines>
  <Paragraphs>146</Paragraphs>
  <ScaleCrop>false</ScaleCrop>
  <Company/>
  <LinksUpToDate>false</LinksUpToDate>
  <CharactersWithSpaces>73479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Владислав Карюкин</cp:lastModifiedBy>
  <cp:revision>2</cp:revision>
  <dcterms:created xsi:type="dcterms:W3CDTF">2021-10-22T10:59:00Z</dcterms:created>
  <dcterms:modified xsi:type="dcterms:W3CDTF">2026-01-25T11:47:00Z</dcterms:modified>
</cp:coreProperties>
</file>